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oter1.xml" ContentType="application/vnd.openxmlformats-officedocument.wordprocessingml.footer+xml"/>
  <Override PartName="/docProps/custom.xml" ContentType="application/vnd.openxmlformats-officedocument.custom-properties+xml"/>
  <Override PartName="/docProps/app.xml" ContentType="application/vnd.openxmlformats-officedocument.extended-properties+xml"/>
  <Override PartName="/word/footnotes.xml" ContentType="application/vnd.openxmlformats-officedocument.wordprocessingml.footnotes+xml"/>
  <Override PartName="/word/endnotes.xml" ContentType="application/vnd.openxmlformats-officedocument.wordprocessingml.endnotes+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Arial" w:cs="Arial" w:eastAsia="Arial" w:hAnsi="Arial"/>
          <w:b/>
          <w:bCs/>
          <w:color w:val="C10230"/>
          <w:spacing w:val="60"/>
          <w:sz w:val="16"/>
          <w:szCs w:val="16"/>
        </w:rPr>
        <w:t xml:space="preserve">COMPLIANCE THROUGH CASE STUDY  ·  SESSION 1</w:t>
      </w:r>
    </w:p>
    <w:p>
      <w:pPr>
        <w:spacing w:after="40"/>
      </w:pPr>
      <w:r>
        <w:rPr>
          <w:rFonts w:ascii="Arial" w:cs="Arial" w:eastAsia="Arial" w:hAnsi="Arial"/>
          <w:b/>
          <w:bCs/>
          <w:color w:val="1A1A1A"/>
          <w:sz w:val="34"/>
          <w:szCs w:val="34"/>
        </w:rPr>
        <w:t xml:space="preserve">Quick Guide — The Three Cases</w:t>
      </w:r>
    </w:p>
    <w:p>
      <w:pPr>
        <w:pBdr>
          <w:bottom w:val="single" w:color="C10230" w:sz="12" w:space="8"/>
        </w:pBdr>
        <w:spacing w:after="140"/>
      </w:pPr>
      <w:r>
        <w:rPr>
          <w:rFonts w:ascii="Arial" w:cs="Arial" w:eastAsia="Arial" w:hAnsi="Arial"/>
          <w:i/>
          <w:iCs/>
          <w:color w:val="5A5A5A"/>
          <w:sz w:val="22"/>
          <w:szCs w:val="22"/>
        </w:rPr>
        <w:t xml:space="preserve">Read this if you are short on time</w:t>
      </w:r>
    </w:p>
    <w:p>
      <w:pPr>
        <w:spacing w:after="160" w:line="300"/>
      </w:pPr>
      <w:r>
        <w:rPr>
          <w:rFonts w:ascii="Arial" w:cs="Arial" w:eastAsia="Arial" w:hAnsi="Arial"/>
          <w:color w:val="222222"/>
          <w:sz w:val="22"/>
          <w:szCs w:val="22"/>
        </w:rPr>
        <w:t xml:space="preserve">A quick orientation to the three Session 1 cases so you can walk in familiar with the facts. Each entry lays out what happened — the people, the timeline, and the situation that landed in court. It stops there on purpose: the legal questions, the reasoning, and how each case came out are what we will work through together. The full case for each is linked below — read it if you can; if you are short on time, this is enough to follow along and take part.</w:t>
      </w:r>
    </w:p>
    <w:p>
      <w:pPr>
        <w:spacing w:after="30" w:before="260"/>
      </w:pPr>
      <w:r>
        <w:rPr>
          <w:rFonts w:ascii="Arial" w:cs="Arial" w:eastAsia="Arial" w:hAnsi="Arial"/>
          <w:b/>
          <w:bCs/>
          <w:color w:val="C10230"/>
          <w:spacing w:val="50"/>
          <w:sz w:val="16"/>
          <w:szCs w:val="16"/>
        </w:rPr>
        <w:t xml:space="preserve">CASE A</w:t>
      </w:r>
    </w:p>
    <w:p>
      <w:pPr>
        <w:pBdr>
          <w:bottom w:val="single" w:color="C10230" w:sz="8" w:space="6"/>
        </w:pBdr>
        <w:spacing w:after="120"/>
      </w:pPr>
      <w:r>
        <w:rPr>
          <w:rFonts w:ascii="Arial" w:cs="Arial" w:eastAsia="Arial" w:hAnsi="Arial"/>
          <w:b/>
          <w:bCs/>
          <w:color w:val="1A1A1A"/>
          <w:sz w:val="26"/>
          <w:szCs w:val="26"/>
        </w:rPr>
        <w:t xml:space="preserve">FMLA Notice and Care for a Parent</w:t>
      </w:r>
    </w:p>
    <w:p>
      <w:pPr>
        <w:pStyle w:val="ListParagraph"/>
        <w:numPr>
          <w:ilvl w:val="0"/>
          <w:numId w:val="2"/>
        </w:numPr>
        <w:spacing w:after="110" w:line="290"/>
      </w:pPr>
      <w:r>
        <w:rPr>
          <w:rFonts w:ascii="Arial" w:cs="Arial" w:eastAsia="Arial" w:hAnsi="Arial"/>
          <w:color w:val="222222"/>
          <w:sz w:val="22"/>
          <w:szCs w:val="22"/>
        </w:rPr>
        <w:t xml:space="preserve">The employee was a probationary worker with a documented run of attendance and scheduling problems — several tardies, a couple of absences, repeated late schedule-change requests, and one disputed call-off. Her supervisor had considered letting her go after that call-off but did not.</w:t>
      </w:r>
    </w:p>
    <w:p>
      <w:pPr>
        <w:pStyle w:val="ListParagraph"/>
        <w:numPr>
          <w:ilvl w:val="0"/>
          <w:numId w:val="2"/>
        </w:numPr>
        <w:spacing w:after="110" w:line="290"/>
      </w:pPr>
      <w:r>
        <w:rPr>
          <w:rFonts w:ascii="Arial" w:cs="Arial" w:eastAsia="Arial" w:hAnsi="Arial"/>
          <w:color w:val="222222"/>
          <w:sz w:val="22"/>
          <w:szCs w:val="22"/>
        </w:rPr>
        <w:t xml:space="preserve">Early one morning, the employee’s mother was rushed to the emergency room by ambulance. The employee called the company’s nursing supervisor, said she was at the hospital, that her mother had come in by ambulance, and that she could not work that day. Her mother stayed hospitalized for over a week.</w:t>
      </w:r>
    </w:p>
    <w:p>
      <w:pPr>
        <w:pStyle w:val="ListParagraph"/>
        <w:numPr>
          <w:ilvl w:val="0"/>
          <w:numId w:val="2"/>
        </w:numPr>
        <w:spacing w:after="110" w:line="290"/>
      </w:pPr>
      <w:r>
        <w:rPr>
          <w:rFonts w:ascii="Arial" w:cs="Arial" w:eastAsia="Arial" w:hAnsi="Arial"/>
          <w:color w:val="222222"/>
          <w:sz w:val="22"/>
          <w:szCs w:val="22"/>
        </w:rPr>
        <w:t xml:space="preserve">When her supervisor returned from vacation a few days later, she pulled the employee’s call-off records. That same morning, the employee emailed asking for a leave of absence to care for her mother. She was fired the next day.</w:t>
      </w:r>
    </w:p>
    <w:p>
      <w:pPr>
        <w:pStyle w:val="ListParagraph"/>
        <w:numPr>
          <w:ilvl w:val="0"/>
          <w:numId w:val="2"/>
        </w:numPr>
        <w:spacing w:after="110" w:line="290"/>
      </w:pPr>
      <w:r>
        <w:rPr>
          <w:rFonts w:ascii="Arial" w:cs="Arial" w:eastAsia="Arial" w:hAnsi="Arial"/>
          <w:color w:val="222222"/>
          <w:sz w:val="22"/>
          <w:szCs w:val="22"/>
        </w:rPr>
        <w:t xml:space="preserve">The company’s stated reason was her attendance history, including an earlier incident it called the final straw. The employee believed her protected absence was tied to the firing. She brought FMLA interference and retaliation claims.</w:t>
      </w:r>
    </w:p>
    <w:p>
      <w:pPr>
        <w:spacing w:after="60" w:before="40"/>
      </w:pPr>
      <w:hyperlink w:history="1" r:id="rIdj-abulxw4fmh99n6l62o6">
        <w:r>
          <w:rPr>
            <w:rFonts w:ascii="Arial" w:cs="Arial" w:eastAsia="Arial" w:hAnsi="Arial"/>
            <w:b/>
            <w:bCs/>
            <w:color w:val="2A5DB0"/>
            <w:sz w:val="21"/>
            <w:szCs w:val="21"/>
            <w:u w:val="single"/>
          </w:rPr>
          <w:t xml:space="preserve">Read the full case →</w:t>
        </w:r>
      </w:hyperlink>
    </w:p>
    <w:p>
      <w:pPr>
        <w:spacing w:after="80"/>
      </w:pPr>
    </w:p>
    <w:p>
      <w:pPr>
        <w:spacing w:after="30" w:before="260"/>
      </w:pPr>
      <w:r>
        <w:rPr>
          <w:rFonts w:ascii="Arial" w:cs="Arial" w:eastAsia="Arial" w:hAnsi="Arial"/>
          <w:b/>
          <w:bCs/>
          <w:color w:val="C10230"/>
          <w:spacing w:val="50"/>
          <w:sz w:val="16"/>
          <w:szCs w:val="16"/>
        </w:rPr>
        <w:t xml:space="preserve">CASE B</w:t>
      </w:r>
    </w:p>
    <w:p>
      <w:pPr>
        <w:pBdr>
          <w:bottom w:val="single" w:color="C10230" w:sz="8" w:space="6"/>
        </w:pBdr>
        <w:spacing w:after="120"/>
      </w:pPr>
      <w:r>
        <w:rPr>
          <w:rFonts w:ascii="Arial" w:cs="Arial" w:eastAsia="Arial" w:hAnsi="Arial"/>
          <w:b/>
          <w:bCs/>
          <w:color w:val="1A1A1A"/>
          <w:sz w:val="26"/>
          <w:szCs w:val="26"/>
        </w:rPr>
        <w:t xml:space="preserve">Intermittent Leave, Call-Ins, and Confusing Instructions</w:t>
      </w:r>
    </w:p>
    <w:p>
      <w:pPr>
        <w:pStyle w:val="ListParagraph"/>
        <w:numPr>
          <w:ilvl w:val="0"/>
          <w:numId w:val="2"/>
        </w:numPr>
        <w:spacing w:after="110" w:line="290"/>
      </w:pPr>
      <w:r>
        <w:rPr>
          <w:rFonts w:ascii="Arial" w:cs="Arial" w:eastAsia="Arial" w:hAnsi="Arial"/>
          <w:color w:val="222222"/>
          <w:sz w:val="22"/>
          <w:szCs w:val="22"/>
        </w:rPr>
        <w:t xml:space="preserve">The employee had been fired once for attendance, then reinstated on a strict one-year probation: one unexcused absence or two unexcused tardies could end his employment. He was later approved for intermittent FMLA leave — three to four days a month — to manage flare-ups of depression and anxiety.</w:t>
      </w:r>
    </w:p>
    <w:p>
      <w:pPr>
        <w:pStyle w:val="ListParagraph"/>
        <w:numPr>
          <w:ilvl w:val="0"/>
          <w:numId w:val="2"/>
        </w:numPr>
        <w:spacing w:after="110" w:line="290"/>
      </w:pPr>
      <w:r>
        <w:rPr>
          <w:rFonts w:ascii="Arial" w:cs="Arial" w:eastAsia="Arial" w:hAnsi="Arial"/>
          <w:color w:val="222222"/>
          <w:sz w:val="22"/>
          <w:szCs w:val="22"/>
        </w:rPr>
        <w:t xml:space="preserve">The instructions for how to call in were contradictory. The approval letter told him to contact the leave administrator “at the number listed below,” but listed no such number; the only call-in number given was the company’s main line. Even the company’s HR representative could not say which number belonged to whom.</w:t>
      </w:r>
    </w:p>
    <w:p>
      <w:pPr>
        <w:pStyle w:val="ListParagraph"/>
        <w:numPr>
          <w:ilvl w:val="0"/>
          <w:numId w:val="2"/>
        </w:numPr>
        <w:spacing w:after="110" w:line="290"/>
      </w:pPr>
      <w:r>
        <w:rPr>
          <w:rFonts w:ascii="Arial" w:cs="Arial" w:eastAsia="Arial" w:hAnsi="Arial"/>
          <w:color w:val="222222"/>
          <w:sz w:val="22"/>
          <w:szCs w:val="22"/>
        </w:rPr>
        <w:t xml:space="preserve">On the days he used leave, the employee called the main line and said he was “having a flare-up” — the exact phrase from his medical certification — and on at least one call said he was using “an FMLA day.” His absences were coded as miscellaneous unexcused.</w:t>
      </w:r>
    </w:p>
    <w:p>
      <w:pPr>
        <w:pStyle w:val="ListParagraph"/>
        <w:numPr>
          <w:ilvl w:val="0"/>
          <w:numId w:val="2"/>
        </w:numPr>
        <w:spacing w:after="110" w:line="290"/>
      </w:pPr>
      <w:r>
        <w:rPr>
          <w:rFonts w:ascii="Arial" w:cs="Arial" w:eastAsia="Arial" w:hAnsi="Arial"/>
          <w:color w:val="222222"/>
          <w:sz w:val="22"/>
          <w:szCs w:val="22"/>
        </w:rPr>
        <w:t xml:space="preserve">HR could have recoded the absences as FMLA but did not, and terminated him for violating his reinstatement terms. He brought FMLA interference and retaliation claims.</w:t>
      </w:r>
    </w:p>
    <w:p>
      <w:pPr>
        <w:spacing w:after="60" w:before="40"/>
      </w:pPr>
      <w:hyperlink w:history="1" r:id="rId1oszmrgttgautt-juvhmw">
        <w:r>
          <w:rPr>
            <w:rFonts w:ascii="Arial" w:cs="Arial" w:eastAsia="Arial" w:hAnsi="Arial"/>
            <w:b/>
            <w:bCs/>
            <w:color w:val="2A5DB0"/>
            <w:sz w:val="21"/>
            <w:szCs w:val="21"/>
            <w:u w:val="single"/>
          </w:rPr>
          <w:t xml:space="preserve">Read the full case →</w:t>
        </w:r>
      </w:hyperlink>
    </w:p>
    <w:p>
      <w:pPr>
        <w:spacing w:after="80"/>
      </w:pPr>
    </w:p>
    <w:p>
      <w:pPr>
        <w:spacing w:after="30" w:before="260"/>
      </w:pPr>
      <w:r>
        <w:rPr>
          <w:rFonts w:ascii="Arial" w:cs="Arial" w:eastAsia="Arial" w:hAnsi="Arial"/>
          <w:b/>
          <w:bCs/>
          <w:color w:val="C10230"/>
          <w:spacing w:val="50"/>
          <w:sz w:val="16"/>
          <w:szCs w:val="16"/>
        </w:rPr>
        <w:t xml:space="preserve">CASE C</w:t>
      </w:r>
    </w:p>
    <w:p>
      <w:pPr>
        <w:pBdr>
          <w:bottom w:val="single" w:color="C10230" w:sz="8" w:space="6"/>
        </w:pBdr>
        <w:spacing w:after="120"/>
      </w:pPr>
      <w:r>
        <w:rPr>
          <w:rFonts w:ascii="Arial" w:cs="Arial" w:eastAsia="Arial" w:hAnsi="Arial"/>
          <w:b/>
          <w:bCs/>
          <w:color w:val="1A1A1A"/>
          <w:sz w:val="26"/>
          <w:szCs w:val="26"/>
        </w:rPr>
        <w:t xml:space="preserve">Eligibility, “Comp” Time, and Being Fired Before Leave Begins</w:t>
      </w:r>
    </w:p>
    <w:p>
      <w:pPr>
        <w:pStyle w:val="ListParagraph"/>
        <w:numPr>
          <w:ilvl w:val="0"/>
          <w:numId w:val="2"/>
        </w:numPr>
        <w:spacing w:after="110" w:line="290"/>
      </w:pPr>
      <w:r>
        <w:rPr>
          <w:rFonts w:ascii="Arial" w:cs="Arial" w:eastAsia="Arial" w:hAnsi="Arial"/>
          <w:color w:val="222222"/>
          <w:sz w:val="22"/>
          <w:szCs w:val="22"/>
        </w:rPr>
        <w:t xml:space="preserve">Brenda Erdman worked at Nationwide Insurance for over two decades. She moved to part-time, and later a four-day week, to care for her daughter Amber, who has Down syndrome. For years she regularly worked extra hours from home; her supervisor at the time, Patty Sarno, either paid her for those hours or let her bank them as “comp” time.</w:t>
      </w:r>
    </w:p>
    <w:p>
      <w:pPr>
        <w:pStyle w:val="ListParagraph"/>
        <w:numPr>
          <w:ilvl w:val="0"/>
          <w:numId w:val="2"/>
        </w:numPr>
        <w:spacing w:after="110" w:line="290"/>
      </w:pPr>
      <w:r>
        <w:rPr>
          <w:rFonts w:ascii="Arial" w:cs="Arial" w:eastAsia="Arial" w:hAnsi="Arial"/>
          <w:color w:val="222222"/>
          <w:sz w:val="22"/>
          <w:szCs w:val="22"/>
        </w:rPr>
        <w:t xml:space="preserve">After Erdman’s schedule change made her a non-exempt employee, Sarno told her to put in only her scheduled hours. Erdman emailed her new supervisor, Stella Getgen, asking whether she could still work extra hours for “comp” time — there was no record of a reply. Getgen later admonished her by email over unapproved overtime and fieldwork, and in February 2003 told her she could no longer use extra hours for “comp” time.</w:t>
      </w:r>
    </w:p>
    <w:p>
      <w:pPr>
        <w:pStyle w:val="ListParagraph"/>
        <w:numPr>
          <w:ilvl w:val="0"/>
          <w:numId w:val="2"/>
        </w:numPr>
        <w:spacing w:after="110" w:line="290"/>
      </w:pPr>
      <w:r>
        <w:rPr>
          <w:rFonts w:ascii="Arial" w:cs="Arial" w:eastAsia="Arial" w:hAnsi="Arial"/>
          <w:color w:val="222222"/>
          <w:sz w:val="22"/>
          <w:szCs w:val="22"/>
        </w:rPr>
        <w:t xml:space="preserve">Erdman’s part-time position was eliminated and she moved to full-time. She asked Nationwide to honor her usual August vacation — time she took each year to get Amber ready for school — and was told it was unlikely. She said that if she could not take the vacation, she would request FMLA leave instead, and submitted paperwork requesting leave from July 7 to August 29.</w:t>
      </w:r>
    </w:p>
    <w:p>
      <w:pPr>
        <w:pStyle w:val="ListParagraph"/>
        <w:numPr>
          <w:ilvl w:val="0"/>
          <w:numId w:val="2"/>
        </w:numPr>
        <w:spacing w:after="110" w:line="290"/>
      </w:pPr>
      <w:r>
        <w:rPr>
          <w:rFonts w:ascii="Arial" w:cs="Arial" w:eastAsia="Arial" w:hAnsi="Arial"/>
          <w:color w:val="222222"/>
          <w:sz w:val="22"/>
          <w:szCs w:val="22"/>
        </w:rPr>
        <w:t xml:space="preserve">On May 9, 2003 — before the leave was set to begin — Nationwide fired her, citing behavioral problems. Erdman maintained those reasons were pretextual and that she was really fired for requesting FMLA leave. She brought claims under the FMLA and the ADA, the latter based on her association with her disabled daughter.</w:t>
      </w:r>
    </w:p>
    <w:p>
      <w:pPr>
        <w:spacing w:after="60" w:before="40"/>
      </w:pPr>
      <w:hyperlink w:history="1" r:id="rIdtywk8b-d1uztok0ppvdjh">
        <w:r>
          <w:rPr>
            <w:rFonts w:ascii="Arial" w:cs="Arial" w:eastAsia="Arial" w:hAnsi="Arial"/>
            <w:b/>
            <w:bCs/>
            <w:color w:val="2A5DB0"/>
            <w:sz w:val="21"/>
            <w:szCs w:val="21"/>
            <w:u w:val="single"/>
          </w:rPr>
          <w:t xml:space="preserve">Read the full case →</w:t>
        </w:r>
      </w:hyperlink>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3E0DB" w:sz="4" w:space="6"/>
      </w:pBdr>
      <w:jc w:val="center"/>
    </w:pPr>
    <w:r>
      <w:rPr>
        <w:rFonts w:ascii="Arial" w:cs="Arial" w:eastAsia="Arial" w:hAnsi="Arial"/>
        <w:color w:val="999999"/>
        <w:sz w:val="16"/>
        <w:szCs w:val="16"/>
      </w:rPr>
      <w:t xml:space="preserve">Quick Guide  ·  AAIM Employers’ Association  ·  Page </w:t>
    </w:r>
    <w:r>
      <w:rPr>
        <w:rFonts w:ascii="Arial" w:cs="Arial" w:eastAsia="Arial" w:hAnsi="Arial"/>
        <w:color w:val="99999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36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 standalone="yes"?>
<Relationships xmlns="http://schemas.openxmlformats.org/package/2006/relationships"><Relationship Id="rId13" Type="http://schemas.openxmlformats.org/officeDocument/2006/relationships/customXml" Target="../customXml/item2.xml"/><Relationship Id="rId3" Type="http://schemas.openxmlformats.org/officeDocument/2006/relationships/footnotes" Target="footnotes.xml"/><Relationship Id="rId7" Type="http://schemas.openxmlformats.org/officeDocument/2006/relationships/footer" Target="footer1.xml"/><Relationship Id="rId1oszmrgttgautt-juvhmw" Type="http://schemas.openxmlformats.org/officeDocument/2006/relationships/hyperlink" Target="https://aaimea.org/wp-content/uploads/2026/06/Compliance-Through-Case-Study-Session1.-Case-B-Intermittent-Leave.docx" TargetMode="External"/><Relationship Id="rIdtywk8b-d1uztok0ppvdjh" Type="http://schemas.openxmlformats.org/officeDocument/2006/relationships/hyperlink" Target="https://aaimea.org/wp-content/uploads/2026/06/ERDMAN-v-Nationwide.pdf" TargetMode="External"/><Relationship Id="rId12" Type="http://schemas.openxmlformats.org/officeDocument/2006/relationships/customXml" Target="../customXml/item1.xml"/><Relationship Id="rId2" Type="http://schemas.openxmlformats.org/officeDocument/2006/relationships/numbering" Target="numbering.xml"/><Relationship Id="rIdj-abulxw4fmh99n6l62o6" Type="http://schemas.openxmlformats.org/officeDocument/2006/relationships/hyperlink" Target="https://aaimea.org/wp-content/uploads/2026/06/Compliance-Through-Case-Study-Session-1-Case-A-Notice-and-Care-for-a-Parent.docx" TargetMode="Externa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fontTable" Target="fontTable.xml"/><Relationship Id="rId5" Type="http://schemas.openxmlformats.org/officeDocument/2006/relationships/settings" Target="settings.xml"/><Relationship Id="rId4" Type="http://schemas.openxmlformats.org/officeDocument/2006/relationships/endnotes" Target="endnotes.xml"/><Relationship Id="rId14" Type="http://schemas.openxmlformats.org/officeDocument/2006/relationships/customXml" Target="../customXml/item3.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E71A81D72198488B4C0867877695E0" ma:contentTypeVersion="19" ma:contentTypeDescription="Create a new document." ma:contentTypeScope="" ma:versionID="9c09febdc3ee30792161a4acc1882f10">
  <xsd:schema xmlns:xsd="http://www.w3.org/2001/XMLSchema" xmlns:xs="http://www.w3.org/2001/XMLSchema" xmlns:p="http://schemas.microsoft.com/office/2006/metadata/properties" xmlns:ns2="b4dd7714-5d3b-4f08-aeb7-4ffa24dfaea1" xmlns:ns3="ae1e6540-5f17-45ce-ac76-c75d29f68c99" targetNamespace="http://schemas.microsoft.com/office/2006/metadata/properties" ma:root="true" ma:fieldsID="8e710f9bd7b7b77f6a3d71218162f823" ns2:_="" ns3:_="">
    <xsd:import namespace="b4dd7714-5d3b-4f08-aeb7-4ffa24dfaea1"/>
    <xsd:import namespace="ae1e6540-5f17-45ce-ac76-c75d29f68c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dd7714-5d3b-4f08-aeb7-4ffa24dfae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3e3dc2-79b4-4fdd-a9a6-f669ca57ba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1e6540-5f17-45ce-ac76-c75d29f68c9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c96abf-cced-47b0-908f-c361fd18f97a}" ma:internalName="TaxCatchAll" ma:showField="CatchAllData" ma:web="ae1e6540-5f17-45ce-ac76-c75d29f68c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4dd7714-5d3b-4f08-aeb7-4ffa24dfaea1">
      <Terms xmlns="http://schemas.microsoft.com/office/infopath/2007/PartnerControls"/>
    </lcf76f155ced4ddcb4097134ff3c332f>
    <TaxCatchAll xmlns="ae1e6540-5f17-45ce-ac76-c75d29f68c99" xsi:nil="true"/>
  </documentManagement>
</p:properties>
</file>

<file path=customXml/itemProps1.xml><?xml version="1.0" encoding="utf-8"?>
<ds:datastoreItem xmlns:ds="http://schemas.openxmlformats.org/officeDocument/2006/customXml" ds:itemID="{80971BAC-2B76-44BA-A292-10FCD3C031BE}"/>
</file>

<file path=customXml/itemProps2.xml><?xml version="1.0" encoding="utf-8"?>
<ds:datastoreItem xmlns:ds="http://schemas.openxmlformats.org/officeDocument/2006/customXml" ds:itemID="{EB8D485B-136F-4FB2-B88F-C80CC290A2E4}"/>
</file>

<file path=customXml/itemProps3.xml><?xml version="1.0" encoding="utf-8"?>
<ds:datastoreItem xmlns:ds="http://schemas.openxmlformats.org/officeDocument/2006/customXml" ds:itemID="{804D560B-366F-434C-9F5B-3B410817A08A}"/>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2026-06-18T19:09:44Z</dcterms:created>
  <dcterms:modified xsi:type="dcterms:W3CDTF">2026-06-18T19:09:44Z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0x0101002FE71A81D72198488B4C0867877695E0</vt:lpwstr>
  </property>
</Properties>
</file>