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29E56" w14:textId="77777777" w:rsidR="00404A2E" w:rsidRDefault="009341B3">
      <w:pPr>
        <w:spacing w:after="60"/>
      </w:pPr>
      <w:r>
        <w:rPr>
          <w:b/>
          <w:bCs/>
          <w:color w:val="C10230"/>
          <w:spacing w:val="60"/>
          <w:sz w:val="16"/>
          <w:szCs w:val="16"/>
        </w:rPr>
        <w:t xml:space="preserve">COMPLIANCE THROUGH CASE </w:t>
      </w:r>
      <w:proofErr w:type="gramStart"/>
      <w:r>
        <w:rPr>
          <w:b/>
          <w:bCs/>
          <w:color w:val="C10230"/>
          <w:spacing w:val="60"/>
          <w:sz w:val="16"/>
          <w:szCs w:val="16"/>
        </w:rPr>
        <w:t>STUDY  ·</w:t>
      </w:r>
      <w:proofErr w:type="gramEnd"/>
      <w:r>
        <w:rPr>
          <w:b/>
          <w:bCs/>
          <w:color w:val="C10230"/>
          <w:spacing w:val="60"/>
          <w:sz w:val="16"/>
          <w:szCs w:val="16"/>
        </w:rPr>
        <w:t xml:space="preserve">  SESSION </w:t>
      </w:r>
      <w:proofErr w:type="gramStart"/>
      <w:r>
        <w:rPr>
          <w:b/>
          <w:bCs/>
          <w:color w:val="C10230"/>
          <w:spacing w:val="60"/>
          <w:sz w:val="16"/>
          <w:szCs w:val="16"/>
        </w:rPr>
        <w:t>1  ·</w:t>
      </w:r>
      <w:proofErr w:type="gramEnd"/>
      <w:r>
        <w:rPr>
          <w:b/>
          <w:bCs/>
          <w:color w:val="C10230"/>
          <w:spacing w:val="60"/>
          <w:sz w:val="16"/>
          <w:szCs w:val="16"/>
        </w:rPr>
        <w:t xml:space="preserve">  CASE A</w:t>
      </w:r>
    </w:p>
    <w:p w14:paraId="74D29E57" w14:textId="77777777" w:rsidR="00404A2E" w:rsidRDefault="009341B3">
      <w:pPr>
        <w:spacing w:after="40"/>
      </w:pPr>
      <w:r>
        <w:rPr>
          <w:b/>
          <w:bCs/>
          <w:color w:val="1A1A1A"/>
          <w:sz w:val="34"/>
          <w:szCs w:val="34"/>
        </w:rPr>
        <w:t>FMLA Notice and Care for a Parent</w:t>
      </w:r>
    </w:p>
    <w:p w14:paraId="74D29E58" w14:textId="77777777" w:rsidR="00404A2E" w:rsidRDefault="009341B3">
      <w:pPr>
        <w:pBdr>
          <w:bottom w:val="single" w:sz="12" w:space="8" w:color="C10230"/>
        </w:pBdr>
        <w:spacing w:after="140"/>
      </w:pPr>
      <w:r>
        <w:rPr>
          <w:i/>
          <w:iCs/>
          <w:color w:val="5A5A5A"/>
        </w:rPr>
        <w:t>Complete Anonymized Federal Appellate Opinion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04A2E" w14:paraId="74D29E5B" w14:textId="77777777">
        <w:tblPrEx>
          <w:tblCellMar>
            <w:top w:w="0" w:type="dxa"/>
            <w:bottom w:w="0" w:type="dxa"/>
          </w:tblCellMar>
        </w:tblPrEx>
        <w:tc>
          <w:tcPr>
            <w:tcW w:w="9360" w:type="dxa"/>
            <w:tcBorders>
              <w:top w:val="single" w:sz="4" w:space="0" w:color="E3E0DB"/>
              <w:left w:val="single" w:sz="4" w:space="0" w:color="E3E0DB"/>
              <w:bottom w:val="single" w:sz="4" w:space="0" w:color="E3E0DB"/>
              <w:right w:val="single" w:sz="4" w:space="0" w:color="E3E0DB"/>
            </w:tcBorders>
            <w:shd w:val="clear" w:color="auto" w:fill="F4F3F1"/>
            <w:tcMar>
              <w:top w:w="160" w:type="dxa"/>
              <w:left w:w="220" w:type="dxa"/>
              <w:bottom w:w="160" w:type="dxa"/>
              <w:right w:w="220" w:type="dxa"/>
            </w:tcMar>
          </w:tcPr>
          <w:p w14:paraId="74D29E59" w14:textId="77777777" w:rsidR="00404A2E" w:rsidRDefault="009341B3">
            <w:pPr>
              <w:spacing w:after="60"/>
            </w:pPr>
            <w:r>
              <w:rPr>
                <w:b/>
                <w:bCs/>
                <w:color w:val="C10230"/>
                <w:spacing w:val="50"/>
                <w:sz w:val="15"/>
                <w:szCs w:val="15"/>
              </w:rPr>
              <w:t>ABOUT THIS DOCUMENT</w:t>
            </w:r>
          </w:p>
          <w:p w14:paraId="74D29E5A" w14:textId="77777777" w:rsidR="00404A2E" w:rsidRDefault="009341B3">
            <w:pPr>
              <w:spacing w:line="285" w:lineRule="auto"/>
            </w:pPr>
            <w:r>
              <w:rPr>
                <w:color w:val="333333"/>
                <w:sz w:val="20"/>
                <w:szCs w:val="20"/>
              </w:rPr>
              <w:t>This is the complete opinion of the court — every paragraph and every footnote the judges wrote — reproduced unaltered except for anonymization. Party, personnel, place, law-firm, and judge names have been replaced with role labels or generalized. The court’s findings, reasoning, citations to other cases, statutory and regulatory references, quoted testimony, and footnotes are intact. (The numbered headnotes and the Background/Holdings synopsis that appear in the published reporter are the legal publisher’s</w:t>
            </w:r>
            <w:r>
              <w:rPr>
                <w:color w:val="333333"/>
                <w:sz w:val="20"/>
                <w:szCs w:val="20"/>
              </w:rPr>
              <w:t xml:space="preserve"> editorial additions, not part of the court’s decision, and are not included.)</w:t>
            </w:r>
          </w:p>
        </w:tc>
      </w:tr>
    </w:tbl>
    <w:p w14:paraId="74D29E5C" w14:textId="77777777" w:rsidR="00404A2E" w:rsidRDefault="00404A2E">
      <w:pPr>
        <w:spacing w:after="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404A2E" w14:paraId="74D29E67" w14:textId="77777777">
        <w:tblPrEx>
          <w:tblCellMar>
            <w:top w:w="0" w:type="dxa"/>
            <w:bottom w:w="0" w:type="dxa"/>
          </w:tblCellMar>
        </w:tblPrEx>
        <w:tc>
          <w:tcPr>
            <w:tcW w:w="9360" w:type="dxa"/>
            <w:tcBorders>
              <w:top w:val="single" w:sz="4" w:space="0" w:color="E3E0DB"/>
              <w:left w:val="single" w:sz="4" w:space="0" w:color="E3E0DB"/>
              <w:bottom w:val="single" w:sz="4" w:space="0" w:color="E3E0DB"/>
              <w:right w:val="single" w:sz="4" w:space="0" w:color="E3E0DB"/>
            </w:tcBorders>
            <w:shd w:val="clear" w:color="auto" w:fill="FBFAF8"/>
            <w:tcMar>
              <w:top w:w="180" w:type="dxa"/>
              <w:left w:w="240" w:type="dxa"/>
              <w:bottom w:w="180" w:type="dxa"/>
              <w:right w:w="240" w:type="dxa"/>
            </w:tcMar>
          </w:tcPr>
          <w:p w14:paraId="74D29E5D" w14:textId="77777777" w:rsidR="00404A2E" w:rsidRDefault="009341B3">
            <w:pPr>
              <w:spacing w:after="100"/>
            </w:pPr>
            <w:r>
              <w:rPr>
                <w:b/>
                <w:bCs/>
                <w:color w:val="C10230"/>
                <w:spacing w:val="50"/>
                <w:sz w:val="16"/>
                <w:szCs w:val="16"/>
              </w:rPr>
              <w:t>CONTENTS — CLICK TO JUMP</w:t>
            </w:r>
          </w:p>
          <w:p w14:paraId="74D29E5E" w14:textId="77777777" w:rsidR="00404A2E" w:rsidRDefault="009341B3">
            <w:pPr>
              <w:spacing w:after="70" w:line="264" w:lineRule="auto"/>
            </w:pPr>
            <w:hyperlink w:anchor="overview" w:history="1">
              <w:r>
                <w:rPr>
                  <w:b/>
                  <w:bCs/>
                  <w:color w:val="2A5DB0"/>
                  <w:u w:val="single"/>
                </w:rPr>
                <w:t>Overview (Background &amp; Holdings)</w:t>
              </w:r>
            </w:hyperlink>
          </w:p>
          <w:p w14:paraId="74D29E5F" w14:textId="77777777" w:rsidR="00404A2E" w:rsidRDefault="009341B3">
            <w:pPr>
              <w:spacing w:after="70" w:line="264" w:lineRule="auto"/>
            </w:pPr>
            <w:hyperlink w:anchor="issues" w:history="1">
              <w:r>
                <w:rPr>
                  <w:b/>
                  <w:bCs/>
                  <w:color w:val="2A5DB0"/>
                  <w:u w:val="single"/>
                </w:rPr>
                <w:t>Issues and Points of Law</w:t>
              </w:r>
            </w:hyperlink>
          </w:p>
          <w:p w14:paraId="74D29E60" w14:textId="77777777" w:rsidR="00404A2E" w:rsidRDefault="009341B3">
            <w:pPr>
              <w:spacing w:after="70" w:line="264" w:lineRule="auto"/>
            </w:pPr>
            <w:hyperlink w:anchor="op" w:history="1">
              <w:r>
                <w:rPr>
                  <w:b/>
                  <w:bCs/>
                  <w:color w:val="2A5DB0"/>
                  <w:u w:val="single"/>
                </w:rPr>
                <w:t>Opinion of the Court</w:t>
              </w:r>
            </w:hyperlink>
          </w:p>
          <w:p w14:paraId="74D29E61" w14:textId="77777777" w:rsidR="00404A2E" w:rsidRDefault="009341B3">
            <w:pPr>
              <w:spacing w:after="70" w:line="264" w:lineRule="auto"/>
              <w:ind w:left="360"/>
            </w:pPr>
            <w:hyperlink w:anchor="intro" w:history="1">
              <w:r>
                <w:rPr>
                  <w:color w:val="2A5DB0"/>
                  <w:sz w:val="21"/>
                  <w:szCs w:val="21"/>
                  <w:u w:val="single"/>
                </w:rPr>
                <w:t>I. Introduction</w:t>
              </w:r>
            </w:hyperlink>
          </w:p>
          <w:p w14:paraId="74D29E62" w14:textId="77777777" w:rsidR="00404A2E" w:rsidRDefault="009341B3">
            <w:pPr>
              <w:spacing w:after="70" w:line="264" w:lineRule="auto"/>
              <w:ind w:left="360"/>
            </w:pPr>
            <w:hyperlink w:anchor="facts" w:history="1">
              <w:r>
                <w:rPr>
                  <w:color w:val="2A5DB0"/>
                  <w:sz w:val="21"/>
                  <w:szCs w:val="21"/>
                  <w:u w:val="single"/>
                </w:rPr>
                <w:t>II. Facts &amp; Procedural History</w:t>
              </w:r>
            </w:hyperlink>
          </w:p>
          <w:p w14:paraId="74D29E63" w14:textId="77777777" w:rsidR="00404A2E" w:rsidRDefault="009341B3">
            <w:pPr>
              <w:spacing w:after="70" w:line="264" w:lineRule="auto"/>
              <w:ind w:left="360"/>
            </w:pPr>
            <w:hyperlink w:anchor="law" w:history="1">
              <w:r>
                <w:rPr>
                  <w:color w:val="2A5DB0"/>
                  <w:sz w:val="21"/>
                  <w:szCs w:val="21"/>
                  <w:u w:val="single"/>
                </w:rPr>
                <w:t>III. Legal Background</w:t>
              </w:r>
            </w:hyperlink>
          </w:p>
          <w:p w14:paraId="74D29E64" w14:textId="77777777" w:rsidR="00404A2E" w:rsidRDefault="009341B3">
            <w:pPr>
              <w:spacing w:after="70" w:line="264" w:lineRule="auto"/>
              <w:ind w:left="360"/>
            </w:pPr>
            <w:hyperlink w:anchor="analysis" w:history="1">
              <w:r>
                <w:rPr>
                  <w:color w:val="2A5DB0"/>
                  <w:sz w:val="21"/>
                  <w:szCs w:val="21"/>
                  <w:u w:val="single"/>
                </w:rPr>
                <w:t>IV. Analysis</w:t>
              </w:r>
            </w:hyperlink>
          </w:p>
          <w:p w14:paraId="74D29E65" w14:textId="77777777" w:rsidR="00404A2E" w:rsidRDefault="009341B3">
            <w:pPr>
              <w:spacing w:after="70" w:line="264" w:lineRule="auto"/>
              <w:ind w:left="360"/>
            </w:pPr>
            <w:hyperlink w:anchor="concl" w:history="1">
              <w:r>
                <w:rPr>
                  <w:color w:val="2A5DB0"/>
                  <w:sz w:val="21"/>
                  <w:szCs w:val="21"/>
                  <w:u w:val="single"/>
                </w:rPr>
                <w:t>V. Conclusion</w:t>
              </w:r>
            </w:hyperlink>
          </w:p>
          <w:p w14:paraId="74D29E66" w14:textId="77777777" w:rsidR="00404A2E" w:rsidRDefault="009341B3">
            <w:pPr>
              <w:spacing w:after="70" w:line="264" w:lineRule="auto"/>
            </w:pPr>
            <w:hyperlink w:anchor="dissent" w:history="1">
              <w:r>
                <w:rPr>
                  <w:b/>
                  <w:bCs/>
                  <w:color w:val="2A5DB0"/>
                  <w:u w:val="single"/>
                </w:rPr>
                <w:t>Dissent</w:t>
              </w:r>
            </w:hyperlink>
          </w:p>
        </w:tc>
      </w:tr>
    </w:tbl>
    <w:p w14:paraId="74D29E68" w14:textId="77777777" w:rsidR="00404A2E" w:rsidRDefault="00404A2E">
      <w:pPr>
        <w:spacing w:after="120"/>
      </w:pPr>
    </w:p>
    <w:p w14:paraId="74D29E69" w14:textId="77777777" w:rsidR="00404A2E" w:rsidRDefault="009341B3">
      <w:pPr>
        <w:spacing w:before="340" w:after="140"/>
      </w:pPr>
      <w:bookmarkStart w:id="0" w:name="overview"/>
      <w:r>
        <w:rPr>
          <w:b/>
          <w:bCs/>
          <w:color w:val="C10230"/>
          <w:sz w:val="28"/>
          <w:szCs w:val="28"/>
        </w:rPr>
        <w:t>Overview</w:t>
      </w:r>
      <w:bookmarkEnd w:id="0"/>
    </w:p>
    <w:p w14:paraId="74D29E6A" w14:textId="77777777" w:rsidR="00404A2E" w:rsidRDefault="009341B3">
      <w:pPr>
        <w:spacing w:after="160" w:line="300" w:lineRule="auto"/>
      </w:pPr>
      <w:r>
        <w:rPr>
          <w:color w:val="222222"/>
        </w:rPr>
        <w:t>Background. A probationary hospital employee with a history of attendance and scheduling problems was discharged days after her mother was hospitalized following an emergency ambulance trip. The employee sued her employer under the Family and Medical Leave Act (FMLA), claiming the company interfered with her FMLA rights and retaliated against her by treating her protected absence as a negative factor in the decision to fire her. The trial court granted summary judgment to the employer on both claims, and th</w:t>
      </w:r>
      <w:r>
        <w:rPr>
          <w:color w:val="222222"/>
        </w:rPr>
        <w:t>e employee appealed.</w:t>
      </w:r>
    </w:p>
    <w:p w14:paraId="74D29E6B" w14:textId="77777777" w:rsidR="00404A2E" w:rsidRDefault="009341B3">
      <w:pPr>
        <w:spacing w:after="160" w:line="300" w:lineRule="auto"/>
      </w:pPr>
      <w:r>
        <w:rPr>
          <w:color w:val="222222"/>
        </w:rPr>
        <w:t xml:space="preserve">Holdings. The Court of Appeals reversed and sent the case back for trial, holding that genuine factual disputes existed on three points: (1) whether the employee’s call-off gave the employer enough information to reasonably determine that the FMLA might apply (notice); (2) whether her protected absence was a negative factor that hastened her termination (causation); and (3) whether the employer’s stated reason—chronic attendance problems and a “final straw” incident—was a pretext for retaliation. One judge </w:t>
      </w:r>
      <w:r>
        <w:rPr>
          <w:color w:val="222222"/>
        </w:rPr>
        <w:t>dissented, concluding that the employee’s notice was inadequate as a matter of law.</w:t>
      </w:r>
    </w:p>
    <w:p w14:paraId="74D29E6C" w14:textId="77777777" w:rsidR="00404A2E" w:rsidRDefault="009341B3">
      <w:pPr>
        <w:spacing w:before="340" w:after="140"/>
      </w:pPr>
      <w:bookmarkStart w:id="1" w:name="issues"/>
      <w:r>
        <w:rPr>
          <w:b/>
          <w:bCs/>
          <w:color w:val="C10230"/>
          <w:sz w:val="28"/>
          <w:szCs w:val="28"/>
        </w:rPr>
        <w:lastRenderedPageBreak/>
        <w:t>Issues and Points of Law</w:t>
      </w:r>
      <w:bookmarkEnd w:id="1"/>
    </w:p>
    <w:p w14:paraId="74D29E6D" w14:textId="77777777" w:rsidR="00404A2E" w:rsidRDefault="009341B3">
      <w:pPr>
        <w:spacing w:after="160" w:line="300" w:lineRule="auto"/>
      </w:pPr>
      <w:r>
        <w:rPr>
          <w:color w:val="222222"/>
        </w:rPr>
        <w:t>The points of law addressed in this opinion, drawn from the court’s decision:</w:t>
      </w:r>
    </w:p>
    <w:p w14:paraId="74D29E6E" w14:textId="77777777" w:rsidR="00404A2E" w:rsidRDefault="009341B3">
      <w:pPr>
        <w:pStyle w:val="ListParagraph"/>
        <w:numPr>
          <w:ilvl w:val="0"/>
          <w:numId w:val="2"/>
        </w:numPr>
        <w:spacing w:after="110" w:line="290" w:lineRule="auto"/>
      </w:pPr>
      <w:r>
        <w:rPr>
          <w:color w:val="222222"/>
        </w:rPr>
        <w:t>Standard of review. The trial court’s grant of summary judgment is reviewed de novo. Summary judgment is proper only where there is no genuine dispute as to any material fact, with all reasonable inferences drawn in favor of the non-moving party.</w:t>
      </w:r>
    </w:p>
    <w:p w14:paraId="74D29E6F" w14:textId="77777777" w:rsidR="00404A2E" w:rsidRDefault="009341B3">
      <w:pPr>
        <w:pStyle w:val="ListParagraph"/>
        <w:numPr>
          <w:ilvl w:val="0"/>
          <w:numId w:val="2"/>
        </w:numPr>
        <w:spacing w:after="110" w:line="290" w:lineRule="auto"/>
      </w:pPr>
      <w:r>
        <w:rPr>
          <w:color w:val="222222"/>
        </w:rPr>
        <w:t>Two FMLA theories. The FMLA recognizes both interference (interfering with, restraining, or denying an FMLA right) and retaliation (taking adverse action against an employee for exercising FMLA rights). Both are alleged here and are closely intertwined.</w:t>
      </w:r>
    </w:p>
    <w:p w14:paraId="74D29E70" w14:textId="77777777" w:rsidR="00404A2E" w:rsidRDefault="009341B3">
      <w:pPr>
        <w:pStyle w:val="ListParagraph"/>
        <w:numPr>
          <w:ilvl w:val="0"/>
          <w:numId w:val="2"/>
        </w:numPr>
        <w:spacing w:after="110" w:line="290" w:lineRule="auto"/>
      </w:pPr>
      <w:r>
        <w:rPr>
          <w:color w:val="222222"/>
        </w:rPr>
        <w:t>Elements of retaliation. To prevail, the plaintiff must show (1) she invoked her right to FMLA-qualifying leave, (2) she suffered an adverse employment decision, and (3) the adverse action was causally related to her invocation of rights.</w:t>
      </w:r>
    </w:p>
    <w:p w14:paraId="74D29E71" w14:textId="77777777" w:rsidR="00404A2E" w:rsidRDefault="009341B3">
      <w:pPr>
        <w:pStyle w:val="ListParagraph"/>
        <w:numPr>
          <w:ilvl w:val="0"/>
          <w:numId w:val="2"/>
        </w:numPr>
        <w:spacing w:after="110" w:line="290" w:lineRule="auto"/>
      </w:pPr>
      <w:r>
        <w:rPr>
          <w:color w:val="222222"/>
        </w:rPr>
        <w:t>The McDonnell Douglas framework. For retaliation claims based on circumstantial evidence, the employee must establish a prima facie case; the burden then shifts to the employer to articulate a legitimate, nondiscriminatory reason; and back to the employee to show that reason is pretextual.</w:t>
      </w:r>
    </w:p>
    <w:p w14:paraId="74D29E72" w14:textId="77777777" w:rsidR="00404A2E" w:rsidRDefault="009341B3">
      <w:pPr>
        <w:pStyle w:val="ListParagraph"/>
        <w:numPr>
          <w:ilvl w:val="0"/>
          <w:numId w:val="2"/>
        </w:numPr>
        <w:spacing w:after="110" w:line="290" w:lineRule="auto"/>
      </w:pPr>
      <w:r>
        <w:rPr>
          <w:color w:val="222222"/>
        </w:rPr>
        <w:t xml:space="preserve">Notice </w:t>
      </w:r>
      <w:proofErr w:type="gramStart"/>
      <w:r>
        <w:rPr>
          <w:color w:val="222222"/>
        </w:rPr>
        <w:t>for</w:t>
      </w:r>
      <w:proofErr w:type="gramEnd"/>
      <w:r>
        <w:rPr>
          <w:color w:val="222222"/>
        </w:rPr>
        <w:t xml:space="preserve"> unforeseeable leave. An employee need not expressly assert FMLA rights or even mention the FMLA. The obligation is to provide sufficient information for an employer to reasonably determine whether the FMLA may apply to the leave request.</w:t>
      </w:r>
    </w:p>
    <w:p w14:paraId="74D29E73" w14:textId="77777777" w:rsidR="00404A2E" w:rsidRDefault="009341B3">
      <w:pPr>
        <w:pStyle w:val="ListParagraph"/>
        <w:numPr>
          <w:ilvl w:val="0"/>
          <w:numId w:val="2"/>
        </w:numPr>
        <w:spacing w:after="110" w:line="290" w:lineRule="auto"/>
      </w:pPr>
      <w:r>
        <w:rPr>
          <w:color w:val="222222"/>
        </w:rPr>
        <w:t>The notice standard is not stringent. The employer need not be clairvoyant, but the employee need not provide every detail necessary to verify that the FMLA applies; where the employer lacks sufficient information, it should inquire further of the employee.</w:t>
      </w:r>
    </w:p>
    <w:p w14:paraId="74D29E74" w14:textId="77777777" w:rsidR="00404A2E" w:rsidRDefault="009341B3">
      <w:pPr>
        <w:pStyle w:val="ListParagraph"/>
        <w:numPr>
          <w:ilvl w:val="0"/>
          <w:numId w:val="2"/>
        </w:numPr>
        <w:spacing w:after="110" w:line="290" w:lineRule="auto"/>
      </w:pPr>
      <w:r>
        <w:rPr>
          <w:color w:val="222222"/>
        </w:rPr>
        <w:t>Notice is generally a question of fact. How the information conveyed to the employer is reasonably interpreted is generally a question of fact for the jury, not a question of law for the court.</w:t>
      </w:r>
    </w:p>
    <w:p w14:paraId="74D29E75" w14:textId="77777777" w:rsidR="00404A2E" w:rsidRDefault="009341B3">
      <w:pPr>
        <w:pStyle w:val="ListParagraph"/>
        <w:numPr>
          <w:ilvl w:val="0"/>
          <w:numId w:val="2"/>
        </w:numPr>
        <w:spacing w:after="110" w:line="290" w:lineRule="auto"/>
      </w:pPr>
      <w:proofErr w:type="gramStart"/>
      <w:r>
        <w:rPr>
          <w:color w:val="222222"/>
        </w:rPr>
        <w:t>Emergency-room</w:t>
      </w:r>
      <w:proofErr w:type="gramEnd"/>
      <w:r>
        <w:rPr>
          <w:color w:val="222222"/>
        </w:rPr>
        <w:t xml:space="preserve"> notice. Reporting that a family member was taken to the emergency room by ambulance can be sufficient notice. The question is whether the information allows an employer to reasonably determine that the FMLA “may” apply—not whether it rules out non-FMLA scenarios; reasonableness does not require certainty.</w:t>
      </w:r>
    </w:p>
    <w:p w14:paraId="74D29E76" w14:textId="77777777" w:rsidR="00404A2E" w:rsidRDefault="009341B3">
      <w:pPr>
        <w:pStyle w:val="ListParagraph"/>
        <w:numPr>
          <w:ilvl w:val="0"/>
          <w:numId w:val="2"/>
        </w:numPr>
        <w:spacing w:after="110" w:line="290" w:lineRule="auto"/>
      </w:pPr>
      <w:r>
        <w:rPr>
          <w:color w:val="222222"/>
        </w:rPr>
        <w:t>“To care for” a family member. This includes providing psychological comfort and reassurance to a parent with a serious health condition, and the employee need not be the only family member available to provide care.</w:t>
      </w:r>
    </w:p>
    <w:p w14:paraId="74D29E77" w14:textId="77777777" w:rsidR="00404A2E" w:rsidRDefault="009341B3">
      <w:pPr>
        <w:pStyle w:val="ListParagraph"/>
        <w:numPr>
          <w:ilvl w:val="0"/>
          <w:numId w:val="2"/>
        </w:numPr>
        <w:spacing w:after="110" w:line="290" w:lineRule="auto"/>
      </w:pPr>
      <w:r>
        <w:rPr>
          <w:color w:val="222222"/>
        </w:rPr>
        <w:t>Causation. The employee must point to evidence sufficient to create an inference of a causal link between the protected FMLA activity and the termination.</w:t>
      </w:r>
    </w:p>
    <w:p w14:paraId="74D29E78" w14:textId="77777777" w:rsidR="00404A2E" w:rsidRDefault="009341B3">
      <w:pPr>
        <w:pStyle w:val="ListParagraph"/>
        <w:numPr>
          <w:ilvl w:val="0"/>
          <w:numId w:val="2"/>
        </w:numPr>
        <w:spacing w:after="110" w:line="290" w:lineRule="auto"/>
      </w:pPr>
      <w:r>
        <w:rPr>
          <w:color w:val="222222"/>
        </w:rPr>
        <w:t>Temporal proximity (unduly suggestive). When the timing between the protected activity and the adverse action is unduly suggestive, that timing alone can create an inference of causation and defeat summary judgment.</w:t>
      </w:r>
    </w:p>
    <w:p w14:paraId="74D29E79" w14:textId="77777777" w:rsidR="00404A2E" w:rsidRDefault="009341B3">
      <w:pPr>
        <w:pStyle w:val="ListParagraph"/>
        <w:numPr>
          <w:ilvl w:val="0"/>
          <w:numId w:val="2"/>
        </w:numPr>
        <w:spacing w:after="110" w:line="290" w:lineRule="auto"/>
      </w:pPr>
      <w:r>
        <w:rPr>
          <w:color w:val="222222"/>
        </w:rPr>
        <w:lastRenderedPageBreak/>
        <w:t>Temporal proximity (not unusually suggestive). Where the timing is not unusually suggestive, the court asks whether the proffered evidence, viewed as a whole, may suffice to raise the inference of causation.</w:t>
      </w:r>
    </w:p>
    <w:p w14:paraId="74D29E7A" w14:textId="77777777" w:rsidR="00404A2E" w:rsidRDefault="009341B3">
      <w:pPr>
        <w:pStyle w:val="ListParagraph"/>
        <w:numPr>
          <w:ilvl w:val="0"/>
          <w:numId w:val="2"/>
        </w:numPr>
        <w:spacing w:after="110" w:line="290" w:lineRule="auto"/>
      </w:pPr>
      <w:r>
        <w:rPr>
          <w:color w:val="222222"/>
        </w:rPr>
        <w:t xml:space="preserve">Pretext. To show pretext, the employee must point to evidence from which a factfinder could disbelieve the employer’s stated reason—demonstrating weaknesses, </w:t>
      </w:r>
      <w:proofErr w:type="spellStart"/>
      <w:r>
        <w:rPr>
          <w:color w:val="222222"/>
        </w:rPr>
        <w:t>implausibilities</w:t>
      </w:r>
      <w:proofErr w:type="spellEnd"/>
      <w:r>
        <w:rPr>
          <w:color w:val="222222"/>
        </w:rPr>
        <w:t>, inconsistencies, or contradictions that make the reason unworthy of credence.</w:t>
      </w:r>
    </w:p>
    <w:p w14:paraId="74D29E7B" w14:textId="77777777" w:rsidR="00404A2E" w:rsidRDefault="009341B3">
      <w:pPr>
        <w:pStyle w:val="ListParagraph"/>
        <w:numPr>
          <w:ilvl w:val="0"/>
          <w:numId w:val="2"/>
        </w:numPr>
        <w:spacing w:after="110" w:line="290" w:lineRule="auto"/>
      </w:pPr>
      <w:r>
        <w:rPr>
          <w:color w:val="222222"/>
        </w:rPr>
        <w:t xml:space="preserve">Timing and pretext. Where an employer was already aware of an employee’s performance problems but did not decide to terminate until after the employee took leave, a </w:t>
      </w:r>
      <w:proofErr w:type="gramStart"/>
      <w:r>
        <w:rPr>
          <w:color w:val="222222"/>
        </w:rPr>
        <w:t>factfinder</w:t>
      </w:r>
      <w:proofErr w:type="gramEnd"/>
      <w:r>
        <w:rPr>
          <w:color w:val="222222"/>
        </w:rPr>
        <w:t xml:space="preserve"> may infer that the employee would not have been fired </w:t>
      </w:r>
      <w:proofErr w:type="gramStart"/>
      <w:r>
        <w:rPr>
          <w:color w:val="222222"/>
        </w:rPr>
        <w:t>absent</w:t>
      </w:r>
      <w:proofErr w:type="gramEnd"/>
      <w:r>
        <w:rPr>
          <w:color w:val="222222"/>
        </w:rPr>
        <w:t xml:space="preserve"> the leave.</w:t>
      </w:r>
    </w:p>
    <w:p w14:paraId="74D29E7C" w14:textId="77777777" w:rsidR="00404A2E" w:rsidRDefault="009341B3">
      <w:pPr>
        <w:pStyle w:val="ListParagraph"/>
        <w:numPr>
          <w:ilvl w:val="0"/>
          <w:numId w:val="2"/>
        </w:numPr>
        <w:spacing w:after="110" w:line="290" w:lineRule="auto"/>
      </w:pPr>
      <w:r>
        <w:rPr>
          <w:color w:val="222222"/>
        </w:rPr>
        <w:t>Interference. The elements are that the employee was entitled to FMLA leave and that the employer denied the right to take it; no discriminatory intent need be shown. However, the FMLA provides no right against termination for reasons unrelated to FMLA rights, so an employer can defeat the claim by showing the termination was for an unrelated reason.</w:t>
      </w:r>
    </w:p>
    <w:p w14:paraId="74D29E7D" w14:textId="77777777" w:rsidR="00404A2E" w:rsidRDefault="009341B3">
      <w:pPr>
        <w:spacing w:before="340" w:after="140"/>
      </w:pPr>
      <w:bookmarkStart w:id="2" w:name="op"/>
      <w:r>
        <w:rPr>
          <w:b/>
          <w:bCs/>
          <w:color w:val="C10230"/>
          <w:sz w:val="28"/>
          <w:szCs w:val="28"/>
        </w:rPr>
        <w:t>Opinion of the Court</w:t>
      </w:r>
      <w:bookmarkEnd w:id="2"/>
    </w:p>
    <w:p w14:paraId="74D29E7E" w14:textId="77777777" w:rsidR="00404A2E" w:rsidRDefault="009341B3">
      <w:pPr>
        <w:spacing w:before="300" w:after="120"/>
      </w:pPr>
      <w:bookmarkStart w:id="3" w:name="intro"/>
      <w:r>
        <w:rPr>
          <w:b/>
          <w:bCs/>
          <w:color w:val="1A1A1A"/>
          <w:sz w:val="25"/>
          <w:szCs w:val="25"/>
        </w:rPr>
        <w:t>I.</w:t>
      </w:r>
      <w:bookmarkEnd w:id="3"/>
    </w:p>
    <w:p w14:paraId="74D29E7F" w14:textId="77777777" w:rsidR="00404A2E" w:rsidRDefault="009341B3">
      <w:pPr>
        <w:spacing w:after="160" w:line="300" w:lineRule="auto"/>
      </w:pPr>
      <w:r>
        <w:rPr>
          <w:color w:val="222222"/>
        </w:rPr>
        <w:t>EMPLOYEE alleges that her employer, COMPANY,</w:t>
      </w:r>
      <w:r>
        <w:rPr>
          <w:rStyle w:val="FootnoteReference"/>
        </w:rPr>
        <w:footnoteReference w:id="1"/>
      </w:r>
      <w:r>
        <w:rPr>
          <w:color w:val="222222"/>
        </w:rPr>
        <w:t xml:space="preserve"> terminated her employment in violation of the Family and Medical Leave Act of 1993 (FMLA), 29 U.S.C. § 2601 et seq. The District Court granted summary judgment to COMPANY on EMPLOYEE’s retaliation and interference claims. EMPLOYEE’s challenge to the District Court’s decision requires us to consider (a) the specificity of information employees must provide to adequately notify employers of unforeseeable FMLA leave, and (b) the nature of a pretext analysis when a legitimate justification for terminating an e</w:t>
      </w:r>
      <w:r>
        <w:rPr>
          <w:color w:val="222222"/>
        </w:rPr>
        <w:t xml:space="preserve">mployee pre-existed that employee’s exercise of FMLA rights. Based on the evidence in this case, genuine factual disputes exist about whether EMPLOYEE’s notice was adequate, whether her invocation of FMLA rights was a negative factor precipitating her termination, and whether COMPANY’s proffered justification for its action was mere pretext for retaliation. Accordingly, we will vacate the District Court’s grant of summary judgment on both claims and </w:t>
      </w:r>
      <w:proofErr w:type="gramStart"/>
      <w:r>
        <w:rPr>
          <w:color w:val="222222"/>
        </w:rPr>
        <w:t>remand</w:t>
      </w:r>
      <w:proofErr w:type="gramEnd"/>
      <w:r>
        <w:rPr>
          <w:color w:val="222222"/>
        </w:rPr>
        <w:t xml:space="preserve"> for further proceedings.</w:t>
      </w:r>
    </w:p>
    <w:p w14:paraId="74D29E80" w14:textId="77777777" w:rsidR="00404A2E" w:rsidRDefault="009341B3">
      <w:pPr>
        <w:spacing w:before="300" w:after="120"/>
      </w:pPr>
      <w:bookmarkStart w:id="4" w:name="facts"/>
      <w:r>
        <w:rPr>
          <w:b/>
          <w:bCs/>
          <w:color w:val="1A1A1A"/>
          <w:sz w:val="25"/>
          <w:szCs w:val="25"/>
        </w:rPr>
        <w:t>II. Facts &amp; Procedural History</w:t>
      </w:r>
      <w:bookmarkEnd w:id="4"/>
    </w:p>
    <w:p w14:paraId="74D29E81" w14:textId="77777777" w:rsidR="00404A2E" w:rsidRDefault="009341B3">
      <w:pPr>
        <w:spacing w:after="160" w:line="300" w:lineRule="auto"/>
      </w:pPr>
      <w:r>
        <w:rPr>
          <w:color w:val="222222"/>
        </w:rPr>
        <w:t xml:space="preserve">EMPLOYEE began working with COMPANY in October 2005 as a research associate at COMPANY’s psychiatric institute and clinic. In September 2007, EMPLOYEE transferred to COMPANY’s hospital where, less than four months later, she was discharged. During her short tenure at the hospital, EMPLOYEE worked as a psychiatric technician under the supervision of </w:t>
      </w:r>
      <w:r>
        <w:rPr>
          <w:color w:val="222222"/>
        </w:rPr>
        <w:lastRenderedPageBreak/>
        <w:t>the SUPERVISOR. Because this was a new position for her, EMPLOYEE was subject to a six-month probationary period in which COMPANY’s progressive discipline policy did not apply.</w:t>
      </w:r>
    </w:p>
    <w:p w14:paraId="74D29E82" w14:textId="77777777" w:rsidR="00404A2E" w:rsidRDefault="009341B3">
      <w:pPr>
        <w:spacing w:after="160" w:line="300" w:lineRule="auto"/>
      </w:pPr>
      <w:r>
        <w:rPr>
          <w:color w:val="222222"/>
        </w:rPr>
        <w:t xml:space="preserve">Although EMPLOYEE received a merit-based raise </w:t>
      </w:r>
      <w:proofErr w:type="gramStart"/>
      <w:r>
        <w:rPr>
          <w:color w:val="222222"/>
        </w:rPr>
        <w:t>to</w:t>
      </w:r>
      <w:proofErr w:type="gramEnd"/>
      <w:r>
        <w:rPr>
          <w:color w:val="222222"/>
        </w:rPr>
        <w:t xml:space="preserve"> her salary in October 2007, her time at the hospital was tarnished by attendance problems and scheduling difficulties. From October through the end of December, EMPLOYEE was tardy six times, absent twice, and requested changes to her schedule on multiple occasions after the deadline for requesting such changes had passed. The most egregious incident during this time occurred on December 1st, a </w:t>
      </w:r>
      <w:proofErr w:type="gramStart"/>
      <w:r>
        <w:rPr>
          <w:color w:val="222222"/>
        </w:rPr>
        <w:t>day</w:t>
      </w:r>
      <w:proofErr w:type="gramEnd"/>
      <w:r>
        <w:rPr>
          <w:color w:val="222222"/>
        </w:rPr>
        <w:t xml:space="preserve"> which EMPLOYEE was scheduled to work a sixteen-hour shift. In the days preceding December 1st, two coworkers</w:t>
      </w:r>
      <w:r>
        <w:rPr>
          <w:color w:val="222222"/>
        </w:rPr>
        <w:t xml:space="preserve"> complained that EMPLOYEE was planning to call off if she could not find a replacement. One of these coworkers told the SUPERVISOR that EMPLOYEE claimed she needed the day off to do </w:t>
      </w:r>
      <w:proofErr w:type="gramStart"/>
      <w:r>
        <w:rPr>
          <w:color w:val="222222"/>
        </w:rPr>
        <w:t>school work</w:t>
      </w:r>
      <w:proofErr w:type="gramEnd"/>
      <w:r>
        <w:rPr>
          <w:rStyle w:val="FootnoteReference"/>
        </w:rPr>
        <w:footnoteReference w:id="2"/>
      </w:r>
      <w:r>
        <w:rPr>
          <w:color w:val="222222"/>
        </w:rPr>
        <w:t xml:space="preserve"> and/or attend a concert. EMPLOYEE’s coworkers were upset because COMPANY policy prohibited premeditated call-offs, and one of them might have to fill in for her if she did not show up. In response to these complaints, the SUPERVISOR emailed EMPLOYEE for an explanation. EMPLOYEE told the SUPERVISOR she was hoping to take December 1st off because it was the only day she could work on a group project for school. Although the SUPERVISOR denied this request, EMPLOYEE (</w:t>
      </w:r>
      <w:proofErr w:type="gramStart"/>
      <w:r>
        <w:rPr>
          <w:color w:val="222222"/>
        </w:rPr>
        <w:t>alleging she</w:t>
      </w:r>
      <w:proofErr w:type="gramEnd"/>
      <w:r>
        <w:rPr>
          <w:color w:val="222222"/>
        </w:rPr>
        <w:t xml:space="preserve"> </w:t>
      </w:r>
      <w:proofErr w:type="gramStart"/>
      <w:r>
        <w:rPr>
          <w:color w:val="222222"/>
        </w:rPr>
        <w:t>was sick</w:t>
      </w:r>
      <w:proofErr w:type="gramEnd"/>
      <w:r>
        <w:rPr>
          <w:color w:val="222222"/>
        </w:rPr>
        <w:t>) called off.</w:t>
      </w:r>
    </w:p>
    <w:p w14:paraId="74D29E83" w14:textId="77777777" w:rsidR="00404A2E" w:rsidRDefault="009341B3">
      <w:pPr>
        <w:spacing w:after="160" w:line="300" w:lineRule="auto"/>
      </w:pPr>
      <w:r>
        <w:rPr>
          <w:color w:val="222222"/>
        </w:rPr>
        <w:t>In her deposition, the SUPERVISOR indicated that EMPLOYEE’s December 1st call-off was the moment when she first considered firing her. According to the SUPERVISOR, “I had already made many accommodations in her schedule, and I had in my mind, if she calls off, then we can’t further this.” The SUPERVISOR did not, however, terminate EMPLOYEE for the incident, nor did she issue a written warning. EMPLOYEE’s employment thus continued and arguably had a bright spot in the days before Christmas when the SUPERVISO</w:t>
      </w:r>
      <w:r>
        <w:rPr>
          <w:color w:val="222222"/>
        </w:rPr>
        <w:t>R sent an email thanking her for volunteering to fill people’s shifts on both Christmas Eve and Christmas Day. Less than three weeks later, on January 10, 2008, the SUPERVISOR informed EMPLOYEE that her employment was terminated.</w:t>
      </w:r>
    </w:p>
    <w:p w14:paraId="74D29E84" w14:textId="77777777" w:rsidR="00404A2E" w:rsidRDefault="009341B3">
      <w:pPr>
        <w:spacing w:after="160" w:line="300" w:lineRule="auto"/>
      </w:pPr>
      <w:r>
        <w:rPr>
          <w:color w:val="222222"/>
        </w:rPr>
        <w:t>While it is undisputed that COMPANY terminated EMPLOYEE for attendance problems and scheduling difficulties, the parties vigorously dispute the event, or “final straw,” that triggered the termination. According to COMPANY, the final straw occurred on December 30th, when—according to COMPANY’s time logs—EMPLOYEE arrived at work several hours late and departed several hours early. Although this incident was not recorded on EMPLOYEE’s staff log,</w:t>
      </w:r>
      <w:r>
        <w:rPr>
          <w:rStyle w:val="FootnoteReference"/>
        </w:rPr>
        <w:footnoteReference w:id="3"/>
      </w:r>
      <w:r>
        <w:rPr>
          <w:color w:val="222222"/>
        </w:rPr>
        <w:t xml:space="preserve"> and although the SUPERVISOR was unable to recall when she first learned about it,</w:t>
      </w:r>
      <w:r>
        <w:rPr>
          <w:rStyle w:val="FootnoteReference"/>
        </w:rPr>
        <w:footnoteReference w:id="4"/>
      </w:r>
      <w:r>
        <w:rPr>
          <w:color w:val="222222"/>
        </w:rPr>
        <w:t xml:space="preserve"> COMPANY insists this incident was the trigger for EMPLOYEE’s termination. COMPANY further </w:t>
      </w:r>
      <w:r>
        <w:rPr>
          <w:color w:val="222222"/>
        </w:rPr>
        <w:lastRenderedPageBreak/>
        <w:t>asserts that the 11-day delay between this December 30th incident and EMPLOYEE’s termination can be explained by the following two facts: (1) the SUPERVISOR went on vacation on December 31st and did not return until January 7th, and (2) the SUPERVISOR’s plan to fire EMPLOYEE on January 8th was thwarted by EMPLOYEE’s request for leave that morning.</w:t>
      </w:r>
    </w:p>
    <w:p w14:paraId="74D29E85" w14:textId="77777777" w:rsidR="00404A2E" w:rsidRDefault="009341B3">
      <w:pPr>
        <w:spacing w:after="160" w:line="300" w:lineRule="auto"/>
      </w:pPr>
      <w:r>
        <w:rPr>
          <w:color w:val="222222"/>
        </w:rPr>
        <w:t>To support its assertion that the SUPERVISOR made the termination decision prior to leaving for vacation on December 31, COMPANY relies entirely on the SUPERVISOR’s own testimony. In her deposition, the SUPERVISOR stated that she made the decision to terminate EMPLOYEE before January 3rd. The SUPERVISOR also testified that prior to terminating employees she always consults with the HR DIRECTOR. When asked when she first spoke with the HR DIRECTOR about terminating EMPLOYEE, the SUPERVISOR stated that it was</w:t>
      </w:r>
      <w:r>
        <w:rPr>
          <w:color w:val="222222"/>
        </w:rPr>
        <w:t xml:space="preserve"> “before the New Year’s.” Elsewhere, however, the SUPERVISOR contradicted herself on </w:t>
      </w:r>
      <w:proofErr w:type="gramStart"/>
      <w:r>
        <w:rPr>
          <w:color w:val="222222"/>
        </w:rPr>
        <w:t>both of these</w:t>
      </w:r>
      <w:proofErr w:type="gramEnd"/>
      <w:r>
        <w:rPr>
          <w:color w:val="222222"/>
        </w:rPr>
        <w:t xml:space="preserve"> points. The following are other answers the SUPERVISOR gave when asked about the date she decided to fire EMPLOYEE: Q. “Had you made the decision to terminate [EMPLOYEE] before you went on leave?” A. “I would have to go back and look at dates.” Q. “Was [the termination decision made] before you went on leave?” A. “I can’t remember dates.” Similarly, when asked to clarify when she first spoke with the HR DIRECT</w:t>
      </w:r>
      <w:r>
        <w:rPr>
          <w:color w:val="222222"/>
        </w:rPr>
        <w:t>OR, the SUPERVISOR provided the following responses: Q. “Did you start your discussions with [Human Resources] after you came back from leave or before you went on leave?” A. “I don’t remember that.” Q. “Was there a discussion with Human Resources in December of 2007 before you went on leave to terminate [EMPLOYEE]?” A. “I cannot remember the exact date.” The HR DIRECTOR was also unable to recall when she and the SUPERVISOR first discussed EMPLOYEE’s termination. The HR DIRECTOR could only recall that it wa</w:t>
      </w:r>
      <w:r>
        <w:rPr>
          <w:color w:val="222222"/>
        </w:rPr>
        <w:t>s before January 8th and could not remember whether it was before, or after, the SUPERVISOR went on leave.</w:t>
      </w:r>
    </w:p>
    <w:p w14:paraId="74D29E86" w14:textId="77777777" w:rsidR="00404A2E" w:rsidRDefault="009341B3">
      <w:pPr>
        <w:spacing w:after="160" w:line="300" w:lineRule="auto"/>
      </w:pPr>
      <w:r>
        <w:rPr>
          <w:color w:val="222222"/>
        </w:rPr>
        <w:t xml:space="preserve">EMPLOYEE’s first scheduled shift after the SUPERVISOR went on leave was January 3, </w:t>
      </w:r>
      <w:proofErr w:type="gramStart"/>
      <w:r>
        <w:rPr>
          <w:color w:val="222222"/>
        </w:rPr>
        <w:t>2008</w:t>
      </w:r>
      <w:proofErr w:type="gramEnd"/>
      <w:r>
        <w:rPr>
          <w:color w:val="222222"/>
        </w:rPr>
        <w:t xml:space="preserve"> at 3:00 p.m. EMPLOYEE did not make her shift that day, however, because early that morning her mother was rushed to the hospital in an ambulance after collapsing from a sudden excruciating pain in her leg. When EMPLOYEE arrived at the emergency room she saw her mother crying from the pain. She had never seen her mother crying as she was that </w:t>
      </w:r>
      <w:proofErr w:type="gramStart"/>
      <w:r>
        <w:rPr>
          <w:color w:val="222222"/>
        </w:rPr>
        <w:t>morning</w:t>
      </w:r>
      <w:proofErr w:type="gramEnd"/>
      <w:r>
        <w:rPr>
          <w:color w:val="222222"/>
        </w:rPr>
        <w:t xml:space="preserve"> and EMPLOYEE tried her best to comfort her. Although unnerved, EMPLOYEE called COMPANY’s nursing supervisor prior to noon to say she couldn’t make her shif</w:t>
      </w:r>
      <w:r>
        <w:rPr>
          <w:color w:val="222222"/>
        </w:rPr>
        <w:t>t.</w:t>
      </w:r>
      <w:r>
        <w:rPr>
          <w:rStyle w:val="FootnoteReference"/>
        </w:rPr>
        <w:footnoteReference w:id="5"/>
      </w:r>
      <w:r>
        <w:rPr>
          <w:color w:val="222222"/>
        </w:rPr>
        <w:t xml:space="preserve"> During the phone call, EMPLOYEE told the supervisor she “was currently in the emergency room, that my mother had been brought into the hospital via ambulance, and I would be unable to work that day.” COMPANY was able to find someone to take EMPLOYEE’s shift and the ACTING SUPERVISOR (the SUPERVISOR’s replacement while she was away) emailed the SUPERVISOR to inform her that EMPLOYEE had called off. Although the ACTING </w:t>
      </w:r>
      <w:r>
        <w:rPr>
          <w:color w:val="222222"/>
        </w:rPr>
        <w:lastRenderedPageBreak/>
        <w:t>SUPERVISOR’s email did not indicate a reason for EMPLOYEE’s call-off, the SCHEDULING ASSIS</w:t>
      </w:r>
      <w:r>
        <w:rPr>
          <w:color w:val="222222"/>
        </w:rPr>
        <w:t>TANT marked the absence in EMPLOYEE’s staff log as “sick mom.”</w:t>
      </w:r>
    </w:p>
    <w:p w14:paraId="74D29E87" w14:textId="77777777" w:rsidR="00404A2E" w:rsidRDefault="009341B3">
      <w:pPr>
        <w:spacing w:after="160" w:line="300" w:lineRule="auto"/>
      </w:pPr>
      <w:r>
        <w:rPr>
          <w:color w:val="222222"/>
        </w:rPr>
        <w:t>EMPLOYEE’s mother’s condition was serious. Doctors diagnosed her as suffering from disc hernia, myopathy, and nerve impingement, and she remained hospitalized until January 8th. During this hospital stay, EMPLOYEE and her brother spent a considerable amount of time with their mother and ran various errands, including taking care of her dogs. EMPLOYEE’s mother, whose recollection of her time at the hospital was “a little foggy,” testified that EMPLOYEE “was really the 24/7 person that would be there, and [he</w:t>
      </w:r>
      <w:r>
        <w:rPr>
          <w:color w:val="222222"/>
        </w:rPr>
        <w:t>r brother] would come and relieve her occasionally so she could run to the store and pick up things or stuff like that or try to make me eat something.” EMPLOYEE, however, did find time to work her shifts at COMPANY on both January 4th and 5th. During these shifts, EMPLOYEE made no further mention of her mother’s condition.</w:t>
      </w:r>
    </w:p>
    <w:p w14:paraId="74D29E88" w14:textId="77777777" w:rsidR="00404A2E" w:rsidRDefault="009341B3">
      <w:pPr>
        <w:spacing w:after="160" w:line="300" w:lineRule="auto"/>
      </w:pPr>
      <w:r>
        <w:rPr>
          <w:color w:val="222222"/>
        </w:rPr>
        <w:t>On January 7th, the SUPERVISOR returned from vacation. On her first morning back, the SUPERVISOR forwarded the SCHEDULING ASSISTANT a copy of the ACTING SUPERVISOR’s email from January 3rd in which the ACTING SUPERVISOR apprised the SUPERVISOR that EMPLOYEE had called off. Above this forwarded message, the SUPERVISOR wrote: “Please pull up [EMPLOYEE’s] call offs for me.” In response, the SCHEDULING ASSISTANT gave the SUPERVISOR a copy of the staff log, which included the “sick mom” notation in the entry for</w:t>
      </w:r>
      <w:r>
        <w:rPr>
          <w:color w:val="222222"/>
        </w:rPr>
        <w:t xml:space="preserve"> EMPLOYEE’s January 3rd absence.</w:t>
      </w:r>
      <w:r>
        <w:rPr>
          <w:rStyle w:val="FootnoteReference"/>
        </w:rPr>
        <w:footnoteReference w:id="6"/>
      </w:r>
      <w:r>
        <w:rPr>
          <w:color w:val="222222"/>
        </w:rPr>
        <w:t xml:space="preserve"> The SUPERVISOR claims she did not see this </w:t>
      </w:r>
      <w:proofErr w:type="gramStart"/>
      <w:r>
        <w:rPr>
          <w:color w:val="222222"/>
        </w:rPr>
        <w:t>particular notation</w:t>
      </w:r>
      <w:proofErr w:type="gramEnd"/>
      <w:r>
        <w:rPr>
          <w:color w:val="222222"/>
        </w:rPr>
        <w:t xml:space="preserve"> when she reviewed the log.</w:t>
      </w:r>
    </w:p>
    <w:p w14:paraId="74D29E89" w14:textId="77777777" w:rsidR="00404A2E" w:rsidRDefault="009341B3">
      <w:pPr>
        <w:spacing w:after="160" w:line="300" w:lineRule="auto"/>
      </w:pPr>
      <w:r>
        <w:rPr>
          <w:color w:val="222222"/>
        </w:rPr>
        <w:t>In their depositions, the HR DIRECTOR and the SUPERVISOR testified that the SUPERVISOR planned to terminate EMPLOYEE on January 8th, the day after the SUPERVISOR returned from vacation. This plan was foiled, however, when EMPLOYEE contacted COMPANY early that morning to request leave to care for her mother. At 12:18 pm, EMPLOYEE sent the SUPERVISOR the following email: “I am not sure if you are aware, but my mother has been in the hospital since Thursday [January 3rd]. I am not sure how much longer they wil</w:t>
      </w:r>
      <w:r>
        <w:rPr>
          <w:color w:val="222222"/>
        </w:rPr>
        <w:t xml:space="preserve">l keep her hospitalized. And once she is released, she might require some assistance. Under these circumstances and </w:t>
      </w:r>
      <w:proofErr w:type="gramStart"/>
      <w:r>
        <w:rPr>
          <w:color w:val="222222"/>
        </w:rPr>
        <w:t>at this point in time</w:t>
      </w:r>
      <w:proofErr w:type="gramEnd"/>
      <w:r>
        <w:rPr>
          <w:color w:val="222222"/>
        </w:rPr>
        <w:t>, I would like to, as well as need to, take a leave of absence. Who do I speak with to aid me in this process?”</w:t>
      </w:r>
    </w:p>
    <w:p w14:paraId="74D29E8A" w14:textId="77777777" w:rsidR="00404A2E" w:rsidRDefault="009341B3">
      <w:pPr>
        <w:spacing w:after="160" w:line="300" w:lineRule="auto"/>
      </w:pPr>
      <w:r>
        <w:rPr>
          <w:color w:val="222222"/>
        </w:rPr>
        <w:t xml:space="preserve">The SUPERVISOR, who receives hundreds of emails a day, claims she did not read this </w:t>
      </w:r>
      <w:proofErr w:type="gramStart"/>
      <w:r>
        <w:rPr>
          <w:color w:val="222222"/>
        </w:rPr>
        <w:t>particular email</w:t>
      </w:r>
      <w:proofErr w:type="gramEnd"/>
      <w:r>
        <w:rPr>
          <w:color w:val="222222"/>
        </w:rPr>
        <w:t>. In fact, the SUPERVISOR insists that she terminated EMPLOYEE “before I knew anything about her mom being ill or needing to ask for leave.” This claim, however, is at odds with other evidence in the record, including the fact that the SUPERVISOR responded to EMPLOYEE’s email.</w:t>
      </w:r>
      <w:r>
        <w:rPr>
          <w:rStyle w:val="FootnoteReference"/>
        </w:rPr>
        <w:footnoteReference w:id="7"/>
      </w:r>
      <w:r>
        <w:rPr>
          <w:color w:val="222222"/>
        </w:rPr>
        <w:t xml:space="preserve"> Although the SUPERVISOR claims she did not read EMPLOYEE’s email </w:t>
      </w:r>
      <w:r>
        <w:rPr>
          <w:color w:val="222222"/>
        </w:rPr>
        <w:lastRenderedPageBreak/>
        <w:t>prior to replying to it, the HR DIRECTOR testified that the SUPERVISOR told her EMPLOYEE’s mother was sick. According to the HR DIRECTOR, “What I recall her saying was that [EMPLOYEE] was stating that she needed to be off to care for her mother.” The HR DIRECTOR testified that the SUPERVISOR conveyed this information prior to EMPLOYEE’s termination.</w:t>
      </w:r>
    </w:p>
    <w:p w14:paraId="74D29E8B" w14:textId="77777777" w:rsidR="00404A2E" w:rsidRDefault="009341B3">
      <w:pPr>
        <w:spacing w:after="160" w:line="300" w:lineRule="auto"/>
      </w:pPr>
      <w:r>
        <w:rPr>
          <w:color w:val="222222"/>
        </w:rPr>
        <w:t>After her termination, EMPLOYEE filed a complaint with a government agency alleging religious discrimination. In response, COMPANY sent a position statement to the agency in which it described its reasons for firing EMPLOYEE. According to this position statement: “Once [EMPLOYEE] began working at [COMPANY], she had numerous incidents of tardiness and absenteeism. She was also a ‘nightmare’ to schedule according to [the SCHEDULING ASSISTANT]. Although the hospital was willing to accommodate her school schedu</w:t>
      </w:r>
      <w:r>
        <w:rPr>
          <w:color w:val="222222"/>
        </w:rPr>
        <w:t xml:space="preserve">le, [EMPLOYEE] was also constantly requesting days off to study or complete schoolwork. By January 4, 2008, [EMPLOYEE] had been absent three times (including once for a </w:t>
      </w:r>
      <w:proofErr w:type="gramStart"/>
      <w:r>
        <w:rPr>
          <w:color w:val="222222"/>
        </w:rPr>
        <w:t>sixteen hour</w:t>
      </w:r>
      <w:proofErr w:type="gramEnd"/>
      <w:r>
        <w:rPr>
          <w:color w:val="222222"/>
        </w:rPr>
        <w:t xml:space="preserve"> shift) and tardy six times.... Documentation regarding [EMPLOYEE’s] lateness, absences and scheduling issues is enclosed as Exhibit M.” As documented in Exhibit M, one of the “three absences” referenced in the position statement was EMPLOYEE’s absence on January 3rd. The SUPERVISOR’s late appearance and early departure on Decemb</w:t>
      </w:r>
      <w:r>
        <w:rPr>
          <w:color w:val="222222"/>
        </w:rPr>
        <w:t>er 30th was not mentioned, either in Exhibit M or the position statement.</w:t>
      </w:r>
    </w:p>
    <w:p w14:paraId="74D29E8C" w14:textId="77777777" w:rsidR="00404A2E" w:rsidRDefault="009341B3">
      <w:pPr>
        <w:spacing w:after="160" w:line="300" w:lineRule="auto"/>
      </w:pPr>
      <w:r>
        <w:rPr>
          <w:color w:val="222222"/>
        </w:rPr>
        <w:t>In addition to filing a claim for religious discrimination, EMPLOYEE filed a complaint under the FMLA. EMPLOYEE argued that her absence on January 3rd qualified for leave under the FMLA, and that COMPANY had impermissibly considered this absence in terminating her employment. The District Court granted COMPANY’s motion for summary judgment and EMPLOYEE filed this timely appeal.</w:t>
      </w:r>
    </w:p>
    <w:p w14:paraId="74D29E8D" w14:textId="77777777" w:rsidR="00404A2E" w:rsidRDefault="009341B3">
      <w:pPr>
        <w:spacing w:before="300" w:after="120"/>
      </w:pPr>
      <w:bookmarkStart w:id="5" w:name="law"/>
      <w:r>
        <w:rPr>
          <w:b/>
          <w:bCs/>
          <w:color w:val="1A1A1A"/>
          <w:sz w:val="25"/>
          <w:szCs w:val="25"/>
        </w:rPr>
        <w:t>III. Legal Background</w:t>
      </w:r>
      <w:r>
        <w:rPr>
          <w:rStyle w:val="FootnoteReference"/>
        </w:rPr>
        <w:footnoteReference w:id="8"/>
      </w:r>
      <w:bookmarkEnd w:id="5"/>
    </w:p>
    <w:p w14:paraId="74D29E8E" w14:textId="77777777" w:rsidR="00404A2E" w:rsidRDefault="009341B3">
      <w:pPr>
        <w:spacing w:before="240" w:after="100"/>
      </w:pPr>
      <w:r>
        <w:rPr>
          <w:b/>
          <w:bCs/>
          <w:color w:val="1A1A1A"/>
          <w:sz w:val="23"/>
          <w:szCs w:val="23"/>
        </w:rPr>
        <w:t>A. Standard of Review</w:t>
      </w:r>
    </w:p>
    <w:p w14:paraId="74D29E8F" w14:textId="77777777" w:rsidR="00404A2E" w:rsidRDefault="009341B3">
      <w:pPr>
        <w:spacing w:after="160" w:line="300" w:lineRule="auto"/>
      </w:pPr>
      <w:r>
        <w:rPr>
          <w:color w:val="222222"/>
        </w:rPr>
        <w:t xml:space="preserve">We review the District Court’s grant of summary judgment de novo. </w:t>
      </w:r>
      <w:proofErr w:type="spellStart"/>
      <w:r>
        <w:rPr>
          <w:color w:val="222222"/>
        </w:rPr>
        <w:t>Sempier</w:t>
      </w:r>
      <w:proofErr w:type="spellEnd"/>
      <w:r>
        <w:rPr>
          <w:color w:val="222222"/>
        </w:rPr>
        <w:t xml:space="preserve"> v. Johnson &amp; Higgins, 45 F.3d 724, 727 (3d Cir.1995). Summary judgment should only be granted if “there is no genuine dispute as to any material fact.” Fed. R. Civ. P. 56(a). A dispute is genuine if a reasonable trier-of-fact could find in favor of the non-movant. Anderson v. Liberty Lobby, Inc., 477 U.S. 242, 248, 252, 106 </w:t>
      </w:r>
      <w:proofErr w:type="spellStart"/>
      <w:r>
        <w:rPr>
          <w:color w:val="222222"/>
        </w:rPr>
        <w:t>S.Ct</w:t>
      </w:r>
      <w:proofErr w:type="spellEnd"/>
      <w:r>
        <w:rPr>
          <w:color w:val="222222"/>
        </w:rPr>
        <w:t>. 2505, 91 L.Ed.2d 202 (1986). A dispute is material if it could affect the outcome of the case. Id. In considering the record, we must draw all reasonable inferences in favo</w:t>
      </w:r>
      <w:r>
        <w:rPr>
          <w:color w:val="222222"/>
        </w:rPr>
        <w:t xml:space="preserve">r of the non-moving party, which in this case is EMPLOYEE. Matsushita Elec. Indus. Co. Ltd. v. Zenith Radio Corp., 475 U.S. 574, 587, 106 </w:t>
      </w:r>
      <w:proofErr w:type="spellStart"/>
      <w:r>
        <w:rPr>
          <w:color w:val="222222"/>
        </w:rPr>
        <w:t>S.Ct</w:t>
      </w:r>
      <w:proofErr w:type="spellEnd"/>
      <w:r>
        <w:rPr>
          <w:color w:val="222222"/>
        </w:rPr>
        <w:t>. 1348, 89 L.Ed.2d 538 (1986).</w:t>
      </w:r>
    </w:p>
    <w:p w14:paraId="74D29E90" w14:textId="77777777" w:rsidR="00404A2E" w:rsidRDefault="009341B3">
      <w:pPr>
        <w:spacing w:before="240" w:after="100"/>
      </w:pPr>
      <w:r>
        <w:rPr>
          <w:b/>
          <w:bCs/>
          <w:color w:val="1A1A1A"/>
          <w:sz w:val="23"/>
          <w:szCs w:val="23"/>
        </w:rPr>
        <w:t>B</w:t>
      </w:r>
      <w:proofErr w:type="gramStart"/>
      <w:r>
        <w:rPr>
          <w:b/>
          <w:bCs/>
          <w:color w:val="1A1A1A"/>
          <w:sz w:val="23"/>
          <w:szCs w:val="23"/>
        </w:rPr>
        <w:t>. Family</w:t>
      </w:r>
      <w:proofErr w:type="gramEnd"/>
      <w:r>
        <w:rPr>
          <w:b/>
          <w:bCs/>
          <w:color w:val="1A1A1A"/>
          <w:sz w:val="23"/>
          <w:szCs w:val="23"/>
        </w:rPr>
        <w:t xml:space="preserve"> Medical Leave Act (FMLA)</w:t>
      </w:r>
    </w:p>
    <w:p w14:paraId="74D29E91" w14:textId="77777777" w:rsidR="00404A2E" w:rsidRDefault="009341B3">
      <w:pPr>
        <w:spacing w:after="160" w:line="300" w:lineRule="auto"/>
      </w:pPr>
      <w:r>
        <w:rPr>
          <w:color w:val="222222"/>
        </w:rPr>
        <w:lastRenderedPageBreak/>
        <w:t>Congress passed the FMLA in 1993 in an attempt “to balance the demands of the workplace with the needs of families.” 29 U.S.C. § 2601(b)(1). Accordingly, the FMLA “entitle[s] employees to take reasonable leave for medical reasons,” 29 U.S.C. § 2601(b)(2), but employees must do so “in a manner that accommodates the legitimate interests of employers,” 29 U.S.C. § 2601(b)(3). Eligible employees are entitled to “12 workweeks of leave during any twelve-month period ... [</w:t>
      </w:r>
      <w:proofErr w:type="spellStart"/>
      <w:r>
        <w:rPr>
          <w:color w:val="222222"/>
        </w:rPr>
        <w:t>i</w:t>
      </w:r>
      <w:proofErr w:type="spellEnd"/>
      <w:r>
        <w:rPr>
          <w:color w:val="222222"/>
        </w:rPr>
        <w:t>]n order to care for the ... parent of the employee, if such ... parent has a serious health condition.” 29 U.S.C. § 2612(a)(1); see also 29 C.F.R. § 825.101(b).</w:t>
      </w:r>
    </w:p>
    <w:p w14:paraId="74D29E92" w14:textId="77777777" w:rsidR="00404A2E" w:rsidRDefault="009341B3">
      <w:pPr>
        <w:spacing w:after="160" w:line="300" w:lineRule="auto"/>
      </w:pPr>
      <w:r>
        <w:rPr>
          <w:color w:val="222222"/>
        </w:rPr>
        <w:t>As indicated, eligible employees are entitled to take FMLA if they “care for” a family member with a “serious health condition.” A “serious health condition” is defined as “an illness, injury, impairment, or physical or mental condition that involves (A) inpatient care in a hospital, ... or (B) continuing treatment by a health care provider.” 29 U.S.C. § 2611(11); see also 29 C.F.R. § 825.114 (defining inpatient care as “an overnight stay in a hospital”). To “care for” a family member, the employee must pro</w:t>
      </w:r>
      <w:r>
        <w:rPr>
          <w:color w:val="222222"/>
        </w:rPr>
        <w:t>vide either physical or “psychological care,” including “psychological comfort and reassurance which would be beneficial to a ... parent with a serious health condition who is receiving inpatient or home care.” 29 C.F.R. § 825.124(a).</w:t>
      </w:r>
    </w:p>
    <w:p w14:paraId="74D29E93" w14:textId="77777777" w:rsidR="00404A2E" w:rsidRDefault="009341B3">
      <w:pPr>
        <w:spacing w:after="160" w:line="300" w:lineRule="auto"/>
      </w:pPr>
      <w:r>
        <w:rPr>
          <w:color w:val="222222"/>
        </w:rPr>
        <w:t>Even when these qualifying circumstances exist, employees cannot invoke rights under the FMLA if they fail to provide adequate notice of their need for leave. 29 U.S.C. § 2612(e). When the need for leave is unforeseeable,</w:t>
      </w:r>
      <w:r>
        <w:rPr>
          <w:rStyle w:val="FootnoteReference"/>
        </w:rPr>
        <w:footnoteReference w:id="9"/>
      </w:r>
      <w:r>
        <w:rPr>
          <w:color w:val="222222"/>
        </w:rPr>
        <w:t xml:space="preserve"> employees are obligated to notify their employer “as soon as practicable,” 29 C.F.R. § 825.303(a), and “provide sufficient information for an employer to reasonably determine whether the FMLA may apply,” 29 C.F.R. § 825.303(b).</w:t>
      </w:r>
    </w:p>
    <w:p w14:paraId="74D29E94" w14:textId="77777777" w:rsidR="00404A2E" w:rsidRDefault="009341B3">
      <w:pPr>
        <w:spacing w:after="160" w:line="300" w:lineRule="auto"/>
      </w:pPr>
      <w:r>
        <w:rPr>
          <w:color w:val="222222"/>
        </w:rPr>
        <w:t>When employees invoke rights granted under the FMLA, employers may not “interfere with, restrain, or deny the exercise of or attempt to exercise” these rights. 29 U.S.C. § 2615(a)(1). Nor may employers “discharge or in any other manner discriminate against any individual for opposing any practice made unlawful.” 29 U.S.C. § 2615(a)(2). The former provision is generally, if imperfectly, referred to as “interference” whereas the latter is often referred to as “retaliation.” Callison v. City of Philadelphia, 4</w:t>
      </w:r>
      <w:r>
        <w:rPr>
          <w:color w:val="222222"/>
        </w:rPr>
        <w:t>30 F.3d 117, 119 (3d Cir.2005). Although neither provision expressly forbids employers from terminating employees “for having exercised or attempted to exercise FMLA rights,” a Department of Labor regulation has interpreted the sum of the two provisions as mandating this result. See 29 C.F.R. § 825.220(c). Under this regulatory interpretation, employers are barred from considering an employee’s FMLA leave “as a negative factor in employment actions such as hiring, promotions or disciplinary actions.”</w:t>
      </w:r>
      <w:r>
        <w:rPr>
          <w:rStyle w:val="FootnoteReference"/>
        </w:rPr>
        <w:footnoteReference w:id="10"/>
      </w:r>
      <w:r>
        <w:rPr>
          <w:color w:val="222222"/>
        </w:rPr>
        <w:t xml:space="preserve"> </w:t>
      </w:r>
      <w:r>
        <w:rPr>
          <w:color w:val="222222"/>
        </w:rPr>
        <w:lastRenderedPageBreak/>
        <w:t>Accordingly, an employee does not need to prove that invoking FMLA rights was the sole or most important factor upon which the employer acted.</w:t>
      </w:r>
    </w:p>
    <w:p w14:paraId="74D29E95" w14:textId="77777777" w:rsidR="00404A2E" w:rsidRDefault="009341B3">
      <w:pPr>
        <w:spacing w:before="300" w:after="120"/>
      </w:pPr>
      <w:bookmarkStart w:id="6" w:name="analysis"/>
      <w:r>
        <w:rPr>
          <w:b/>
          <w:bCs/>
          <w:color w:val="1A1A1A"/>
          <w:sz w:val="25"/>
          <w:szCs w:val="25"/>
        </w:rPr>
        <w:t>IV. Analysis</w:t>
      </w:r>
      <w:bookmarkEnd w:id="6"/>
    </w:p>
    <w:p w14:paraId="74D29E96" w14:textId="77777777" w:rsidR="00404A2E" w:rsidRDefault="009341B3">
      <w:pPr>
        <w:spacing w:after="160" w:line="300" w:lineRule="auto"/>
      </w:pPr>
      <w:r>
        <w:rPr>
          <w:color w:val="222222"/>
        </w:rPr>
        <w:t>Although the gravamen of EMPLOYEE’s claim sounds in retaliation, she alleges both retaliation and interference claims. See Erdman v. Nationwide Ins. Co., 582 F.3d 500, 509 (3d Cir.2009) (“[F]</w:t>
      </w:r>
      <w:proofErr w:type="spellStart"/>
      <w:r>
        <w:rPr>
          <w:color w:val="222222"/>
        </w:rPr>
        <w:t>iring</w:t>
      </w:r>
      <w:proofErr w:type="spellEnd"/>
      <w:r>
        <w:rPr>
          <w:color w:val="222222"/>
        </w:rPr>
        <w:t xml:space="preserve"> an employee for a valid request for FMLA leave may constitute interference with the employee’s FMLA rights as well as retaliation against the employee.”). As will be seen, both claims are closely intertwined.</w:t>
      </w:r>
    </w:p>
    <w:p w14:paraId="74D29E97" w14:textId="77777777" w:rsidR="00404A2E" w:rsidRDefault="009341B3">
      <w:pPr>
        <w:spacing w:before="240" w:after="100"/>
      </w:pPr>
      <w:r>
        <w:rPr>
          <w:b/>
          <w:bCs/>
          <w:color w:val="1A1A1A"/>
          <w:sz w:val="23"/>
          <w:szCs w:val="23"/>
        </w:rPr>
        <w:t>A. Retaliation</w:t>
      </w:r>
    </w:p>
    <w:p w14:paraId="74D29E98" w14:textId="77777777" w:rsidR="00404A2E" w:rsidRDefault="009341B3">
      <w:pPr>
        <w:spacing w:after="160" w:line="300" w:lineRule="auto"/>
      </w:pPr>
      <w:r>
        <w:rPr>
          <w:color w:val="222222"/>
        </w:rPr>
        <w:t xml:space="preserve">To prevail on a </w:t>
      </w:r>
      <w:proofErr w:type="gramStart"/>
      <w:r>
        <w:rPr>
          <w:color w:val="222222"/>
        </w:rPr>
        <w:t>retaliation</w:t>
      </w:r>
      <w:proofErr w:type="gramEnd"/>
      <w:r>
        <w:rPr>
          <w:color w:val="222222"/>
        </w:rPr>
        <w:t xml:space="preserve"> claim under the FMLA, the plaintiff must prove that (1) she invoked her right to FMLA-qualifying leave, (2) she suffered an adverse employment decision, and (3) the adverse action was causally related to her invocation of rights. See Erdman, 582 F.3d at 508–09 (modifying </w:t>
      </w:r>
      <w:proofErr w:type="spellStart"/>
      <w:r>
        <w:rPr>
          <w:color w:val="222222"/>
        </w:rPr>
        <w:t>Conoshenti</w:t>
      </w:r>
      <w:proofErr w:type="spellEnd"/>
      <w:r>
        <w:rPr>
          <w:color w:val="222222"/>
        </w:rPr>
        <w:t xml:space="preserve">, 364 F.3d at 146). Because FMLA retaliation claims require proof of the employer’s retaliatory intent, courts have assessed these claims through the lens of employment discrimination law. Accordingly, claims based on </w:t>
      </w:r>
      <w:r>
        <w:rPr>
          <w:color w:val="222222"/>
        </w:rPr>
        <w:t xml:space="preserve">circumstantial evidence have been assessed under the burden-shifting framework established in McDonnell Douglas Corp. v. Green, 411 U.S. 792, 93 </w:t>
      </w:r>
      <w:proofErr w:type="spellStart"/>
      <w:r>
        <w:rPr>
          <w:color w:val="222222"/>
        </w:rPr>
        <w:t>S.Ct</w:t>
      </w:r>
      <w:proofErr w:type="spellEnd"/>
      <w:r>
        <w:rPr>
          <w:color w:val="222222"/>
        </w:rPr>
        <w:t xml:space="preserve">. 1817, 36 L.Ed.2d 668 (1973), while claims based on direct evidence have been assessed under the mixed-motive framework set forth in Price Waterhouse v. Hopkins, 490 U.S. 228, 276–77, 109 </w:t>
      </w:r>
      <w:proofErr w:type="spellStart"/>
      <w:r>
        <w:rPr>
          <w:color w:val="222222"/>
        </w:rPr>
        <w:t>S.Ct</w:t>
      </w:r>
      <w:proofErr w:type="spellEnd"/>
      <w:r>
        <w:rPr>
          <w:color w:val="222222"/>
        </w:rPr>
        <w:t xml:space="preserve">. 1775, 104 L.Ed.2d 268 (1989) (O’Connor, J., concurring). See </w:t>
      </w:r>
      <w:proofErr w:type="spellStart"/>
      <w:r>
        <w:rPr>
          <w:color w:val="222222"/>
        </w:rPr>
        <w:t>Conoshenti</w:t>
      </w:r>
      <w:proofErr w:type="spellEnd"/>
      <w:r>
        <w:rPr>
          <w:color w:val="222222"/>
        </w:rPr>
        <w:t>, 364 F.3d at 147.</w:t>
      </w:r>
      <w:r>
        <w:rPr>
          <w:rStyle w:val="FootnoteReference"/>
        </w:rPr>
        <w:footnoteReference w:id="11"/>
      </w:r>
    </w:p>
    <w:p w14:paraId="74D29E99" w14:textId="77777777" w:rsidR="00404A2E" w:rsidRDefault="009341B3">
      <w:pPr>
        <w:spacing w:after="160" w:line="300" w:lineRule="auto"/>
      </w:pPr>
      <w:r>
        <w:rPr>
          <w:color w:val="222222"/>
        </w:rPr>
        <w:t xml:space="preserve">Although some courts have recently questioned the viability of mixed-motive claims under the FMLA in the wake of Gross v. FBL Financial Services, Inc., 557 U.S. 167, 129 </w:t>
      </w:r>
      <w:proofErr w:type="spellStart"/>
      <w:r>
        <w:rPr>
          <w:color w:val="222222"/>
        </w:rPr>
        <w:t>S.Ct</w:t>
      </w:r>
      <w:proofErr w:type="spellEnd"/>
      <w:r>
        <w:rPr>
          <w:color w:val="222222"/>
        </w:rPr>
        <w:t>. 2343, 2349, 174 L.Ed.2d 119 (2009),</w:t>
      </w:r>
      <w:r>
        <w:rPr>
          <w:rStyle w:val="FootnoteReference"/>
        </w:rPr>
        <w:footnoteReference w:id="12"/>
      </w:r>
      <w:r>
        <w:rPr>
          <w:color w:val="222222"/>
        </w:rPr>
        <w:t xml:space="preserve"> the only federal court of appeals to rule on the issue has held that Gross does not preclude FMLA mixed-motive claims. See Hunter v. Valley View Local Sch., 579 F.3d 688, 692 (6th Cir.2009). The Department of Labor has taken a similar position, stating its view in an amicus brief that the FMLA continues to allow mixed-motive claims. Although EMPLOYEE calls on us to apply the mixed-motive framework to her retaliation claim, she </w:t>
      </w:r>
      <w:r>
        <w:rPr>
          <w:color w:val="222222"/>
        </w:rPr>
        <w:lastRenderedPageBreak/>
        <w:t>readily survives summary judgment under the more taxing McDonnell Douglas standa</w:t>
      </w:r>
      <w:r>
        <w:rPr>
          <w:color w:val="222222"/>
        </w:rPr>
        <w:t>rd. Accordingly, we proceed under McDonnell Douglas and leave for another day our resolution of whether the FMLA continues to allow mixed-motive claims in the wake of Gross.</w:t>
      </w:r>
    </w:p>
    <w:p w14:paraId="74D29E9A" w14:textId="77777777" w:rsidR="00404A2E" w:rsidRDefault="009341B3">
      <w:pPr>
        <w:spacing w:after="160" w:line="300" w:lineRule="auto"/>
      </w:pPr>
      <w:r>
        <w:rPr>
          <w:color w:val="222222"/>
        </w:rPr>
        <w:t xml:space="preserve">Under the McDonnell Douglas framework, EMPLOYEE has the initial burden of establishing a prima facie case. To do so, she must point to evidence in the record sufficient to create a genuine factual dispute about each of the three elements of her retaliation claim: (a) invocation of an FMLA right, (b) termination, and (c) causation. See Erdman, 582 F.3d at 508–09; </w:t>
      </w:r>
      <w:proofErr w:type="spellStart"/>
      <w:r>
        <w:rPr>
          <w:color w:val="222222"/>
        </w:rPr>
        <w:t>Conoshenti</w:t>
      </w:r>
      <w:proofErr w:type="spellEnd"/>
      <w:r>
        <w:rPr>
          <w:color w:val="222222"/>
        </w:rPr>
        <w:t xml:space="preserve">, 364 F.3d at 146. If EMPLOYEE can do so, the burden of production shifts to COMPANY to “articulate some legitimate, nondiscriminatory reason” for its decision. McDonnell Douglas, 411 U.S. at 802, 93 </w:t>
      </w:r>
      <w:proofErr w:type="spellStart"/>
      <w:r>
        <w:rPr>
          <w:color w:val="222222"/>
        </w:rPr>
        <w:t>S.Ct</w:t>
      </w:r>
      <w:proofErr w:type="spellEnd"/>
      <w:r>
        <w:rPr>
          <w:color w:val="222222"/>
        </w:rPr>
        <w:t>. 1817. If COMPANY meets this minimal burden, EMPLOYEE “must point to some evidence, direct or circumstantial, from which a factfinder could reasonably ... disbelieve [COMPANY’s] articulated legitimate reasons.” Fuentes v. Perskie, 32 F.3d 759, 764 (3d Cir.1994).</w:t>
      </w:r>
    </w:p>
    <w:p w14:paraId="74D29E9B" w14:textId="77777777" w:rsidR="00404A2E" w:rsidRDefault="009341B3">
      <w:pPr>
        <w:spacing w:after="160" w:line="300" w:lineRule="auto"/>
      </w:pPr>
      <w:r>
        <w:rPr>
          <w:color w:val="222222"/>
        </w:rPr>
        <w:t xml:space="preserve">In </w:t>
      </w:r>
      <w:proofErr w:type="gramStart"/>
      <w:r>
        <w:rPr>
          <w:color w:val="222222"/>
        </w:rPr>
        <w:t>its</w:t>
      </w:r>
      <w:proofErr w:type="gramEnd"/>
      <w:r>
        <w:rPr>
          <w:color w:val="222222"/>
        </w:rPr>
        <w:t xml:space="preserve"> ruling below, the District Court granted summary judgment to COMPANY based on its conclusions that EMPLOYEE (1) failed to establish the invocation (i.e., notice) and causation prongs of the prima facie case, and (2) failed to identify evidence casting reasonable doubt on COMPANY’s proffered justification for her termination. We will address each of these issues in turn, beginning with notice.</w:t>
      </w:r>
    </w:p>
    <w:p w14:paraId="74D29E9C" w14:textId="77777777" w:rsidR="00404A2E" w:rsidRDefault="009341B3">
      <w:pPr>
        <w:spacing w:before="200" w:after="90"/>
      </w:pPr>
      <w:r>
        <w:rPr>
          <w:b/>
          <w:bCs/>
          <w:color w:val="1A1A1A"/>
        </w:rPr>
        <w:t>1. Notice</w:t>
      </w:r>
      <w:r>
        <w:rPr>
          <w:rStyle w:val="FootnoteReference"/>
        </w:rPr>
        <w:footnoteReference w:id="13"/>
      </w:r>
    </w:p>
    <w:p w14:paraId="74D29E9D" w14:textId="77777777" w:rsidR="00404A2E" w:rsidRDefault="009341B3">
      <w:pPr>
        <w:spacing w:after="160" w:line="300" w:lineRule="auto"/>
      </w:pPr>
      <w:r>
        <w:rPr>
          <w:color w:val="222222"/>
        </w:rPr>
        <w:t>To invoke rights under the FMLA, employees must provide adequate notice to their employer about their need to take leave. 29 U.S.C. § 2612(e)(2). In doing so, the employee “need not expressly assert rights under the FMLA or even mention the FMLA.” 29 C.F.R. § 825.303(b). When the leave is unforeseeable, the employee’s obligation is to “provide sufficient information for an employer to reasonably determine whether the FMLA may apply to the leave request.” Id. As we have previously noted, this is not a formal</w:t>
      </w:r>
      <w:r>
        <w:rPr>
          <w:color w:val="222222"/>
        </w:rPr>
        <w:t>istic or stringent standard. See Sarnowski v. Air Brooke Limousine, Inc., 510 F.3d 398, 402 (3d Cir.2007) (stating that the statutory and regulatory text suggests a “liberal construction” be given to FMLA’s notice requirement); see also Rask v. Fresenius Med. Care N. Am., 509 F.3d 466, 474 (8th Cir.2007) (“The regulations already make it very easy for [an employee] to give notice of her intent to take leave.”); Burnett v. LFW Inc., 472 F.3d 471, 478 (7th Cir.2006) (“The notice requirements of the FMLA are n</w:t>
      </w:r>
      <w:r>
        <w:rPr>
          <w:color w:val="222222"/>
        </w:rPr>
        <w:t>ot onerous.”).</w:t>
      </w:r>
    </w:p>
    <w:p w14:paraId="74D29E9E" w14:textId="77777777" w:rsidR="00404A2E" w:rsidRDefault="009341B3">
      <w:pPr>
        <w:spacing w:after="160" w:line="300" w:lineRule="auto"/>
      </w:pPr>
      <w:r>
        <w:rPr>
          <w:color w:val="222222"/>
        </w:rPr>
        <w:lastRenderedPageBreak/>
        <w:t>While the FMLA “does not require an employer to be clairvoyant,” Brenneman v. MedCentral Health Sys., 366 F.3d 412, 428 (6th Cir.2004), this does not mean that employees need to provide every detail necessary for the employer to verify if the FMLA applies. See, e.g., Ruble v. Am. River Transp., 799 F.Supp.2d 1017, 1025 (E.D.Mo.2011) (“Plaintiff was not required to provide all the details necessary to show he was entitled to FMLA leave.”). This conclusion is dictated by the language of 29 C.F.R. § 825.303(a)</w:t>
      </w:r>
      <w:r>
        <w:rPr>
          <w:color w:val="222222"/>
        </w:rPr>
        <w:t xml:space="preserve">, which provides that “where the employer does not have sufficient information about the reason for an employee’s use of leave, the employer should inquire further of the employee ... to ascertain whether leave is potentially FMLA-qualifying.” The regulations thus clearly envision situations where an employee can satisfy her notice obligation without providing enough detailed information for the employer to know if FMLA </w:t>
      </w:r>
      <w:proofErr w:type="gramStart"/>
      <w:r>
        <w:rPr>
          <w:color w:val="222222"/>
        </w:rPr>
        <w:t>actually applies</w:t>
      </w:r>
      <w:proofErr w:type="gramEnd"/>
      <w:r>
        <w:rPr>
          <w:color w:val="222222"/>
        </w:rPr>
        <w:t>. Accordingly, the “critical test” is not whether the employee gave ever</w:t>
      </w:r>
      <w:r>
        <w:rPr>
          <w:color w:val="222222"/>
        </w:rPr>
        <w:t>y necessary detail to determine if the FMLA applies, but “how the information conveyed to the employer is reasonably interpreted.” Sarnowski, 510 F.3d at 402. How the employee’s notice is reasonably interpreted is generally a question of fact, not law.</w:t>
      </w:r>
      <w:r>
        <w:rPr>
          <w:rStyle w:val="FootnoteReference"/>
        </w:rPr>
        <w:footnoteReference w:id="14"/>
      </w:r>
      <w:r>
        <w:rPr>
          <w:color w:val="222222"/>
        </w:rPr>
        <w:t xml:space="preserve"> See Murphy v. FedEx </w:t>
      </w:r>
      <w:proofErr w:type="spellStart"/>
      <w:r>
        <w:rPr>
          <w:color w:val="222222"/>
        </w:rPr>
        <w:t>Nat’l</w:t>
      </w:r>
      <w:proofErr w:type="spellEnd"/>
      <w:r>
        <w:rPr>
          <w:color w:val="222222"/>
        </w:rPr>
        <w:t xml:space="preserve">. LTL, Inc., 618 F.3d 893, 903 (8th Cir.2010); Burnett, 472 F.3d at 479; Hopson v. Quitman Cnty. Hosp. &amp; Nursing Home, Inc., 126 F.3d 635, 640 (5th Cir.1997); Cavaliere v. Advertising Specialty Institute Inc., 853 F.Supp.2d 472, 485–86 (E.D.Pa.2012); </w:t>
      </w:r>
      <w:proofErr w:type="spellStart"/>
      <w:r>
        <w:rPr>
          <w:color w:val="222222"/>
        </w:rPr>
        <w:t>Zawadowicz</w:t>
      </w:r>
      <w:proofErr w:type="spellEnd"/>
      <w:r>
        <w:rPr>
          <w:color w:val="222222"/>
        </w:rPr>
        <w:t xml:space="preserve"> v. CVS. Corp., 99 F.Supp.2d 518, 529 (D.N.J.2000). But see Cavin, 346 F.3d at 723 (stating Sixth Circuit’s view that adequacy of notice is a question of law). Under the circumstances of this case, we believe that the adequac</w:t>
      </w:r>
      <w:r>
        <w:rPr>
          <w:color w:val="222222"/>
        </w:rPr>
        <w:t>y of EMPLOYEE’s notice is a question of fact.</w:t>
      </w:r>
    </w:p>
    <w:p w14:paraId="74D29E9F" w14:textId="77777777" w:rsidR="00404A2E" w:rsidRDefault="009341B3">
      <w:pPr>
        <w:spacing w:after="160" w:line="300" w:lineRule="auto"/>
      </w:pPr>
      <w:r>
        <w:rPr>
          <w:color w:val="222222"/>
        </w:rPr>
        <w:t xml:space="preserve">We begin by noting several facts that are not in dispute. First, EMPLOYEE’s mother suffered a sudden, severe, and unexpected health condition on January 3, </w:t>
      </w:r>
      <w:proofErr w:type="gramStart"/>
      <w:r>
        <w:rPr>
          <w:color w:val="222222"/>
        </w:rPr>
        <w:t>2008</w:t>
      </w:r>
      <w:proofErr w:type="gramEnd"/>
      <w:r>
        <w:rPr>
          <w:color w:val="222222"/>
        </w:rPr>
        <w:t xml:space="preserve"> that required staying at the hospital for over a week. As such, EMPLOYEE’s mother suffered a “serious health condition” that entitled EMPLOYEE to take FMLA leave on January 3rd. See 29 U.S.C. § 2611(11); 29 C.F.R. § 825.114. Second, EMPLOYEE correctly followed COMPANY’s call-off procedure by calling COMPANY’s nursing supervisor soon after arriving at the emergency room. This is sufficient to establish a genuine dispute about whether EMPLOYEE notified COMPANY “as soon as [was] practicable under the fact</w:t>
      </w:r>
      <w:r>
        <w:rPr>
          <w:color w:val="222222"/>
        </w:rPr>
        <w:t>s and circumstances.”</w:t>
      </w:r>
      <w:r>
        <w:rPr>
          <w:rStyle w:val="FootnoteReference"/>
        </w:rPr>
        <w:footnoteReference w:id="15"/>
      </w:r>
      <w:r>
        <w:rPr>
          <w:color w:val="222222"/>
        </w:rPr>
        <w:t xml:space="preserve"> 29 C.F.R. § 825.303(a). Finally, during EMPLOYEE’s telephone call with the nursing supervisor, EMPLOYEE conveyed the following facts: (1) she was “currently in the emergency room,” (2) her “mother had been brought into the hospital via ambulance,” and (3) she “would be unable to work that day.”</w:t>
      </w:r>
    </w:p>
    <w:p w14:paraId="74D29EA0" w14:textId="77777777" w:rsidR="00404A2E" w:rsidRDefault="009341B3">
      <w:pPr>
        <w:spacing w:before="150" w:after="80"/>
      </w:pPr>
      <w:r>
        <w:rPr>
          <w:b/>
          <w:bCs/>
          <w:i/>
          <w:iCs/>
          <w:color w:val="5A5A5A"/>
        </w:rPr>
        <w:t>(a) “Serious Health Condition”</w:t>
      </w:r>
    </w:p>
    <w:p w14:paraId="74D29EA1" w14:textId="77777777" w:rsidR="00404A2E" w:rsidRDefault="009341B3">
      <w:pPr>
        <w:spacing w:after="160" w:line="300" w:lineRule="auto"/>
      </w:pPr>
      <w:r>
        <w:rPr>
          <w:color w:val="222222"/>
        </w:rPr>
        <w:lastRenderedPageBreak/>
        <w:t>The District Court concluded that EMPLOYEE conveyed insufficient information to the nursing supervisor to place COMPANY on notice. According to the District Court, the information was inadequate because “the fact that a family member has been taken to the emergency room does not necessarily reflect a serious medical condition sufficient to support a request for leave under the FMLA.” “While the condition precipitating an emergency room visit may be serious,” the District Court reasoned that “the condition m</w:t>
      </w:r>
      <w:r>
        <w:rPr>
          <w:color w:val="222222"/>
        </w:rPr>
        <w:t xml:space="preserve">ight not require ongoing hospitalization or medical treatment.” In so reasoning, the District Court answered the wrong question. The question is not whether the information conveyed to the employer necessarily rules out non-FMLA scenarios. The question is whether the information allows an employer to “reasonably determine whether the FMLA may apply.” 29 C.F.R. § 825.303(b). Reasonableness does not require certainty, and “may” does not mean “must.” It does not matter that a person rushed by ambulance to the </w:t>
      </w:r>
      <w:r>
        <w:rPr>
          <w:color w:val="222222"/>
        </w:rPr>
        <w:t>emergency room “might not” require inpatient care as defined under the FMLA. Since many people in this situation do require such care, a jury might find that reasonable notice was given under the circumstances.</w:t>
      </w:r>
      <w:r>
        <w:rPr>
          <w:rStyle w:val="FootnoteReference"/>
        </w:rPr>
        <w:footnoteReference w:id="16"/>
      </w:r>
    </w:p>
    <w:p w14:paraId="74D29EA2" w14:textId="77777777" w:rsidR="00404A2E" w:rsidRDefault="009341B3">
      <w:pPr>
        <w:spacing w:after="160" w:line="300" w:lineRule="auto"/>
      </w:pPr>
      <w:r>
        <w:rPr>
          <w:color w:val="222222"/>
        </w:rPr>
        <w:t>Finally, in considering the adequacy of EMPLOYEE’s notice, we find it instructive to compare the information she conveyed with the guidance provided in 29 C.F.R. § 825.303(b).</w:t>
      </w:r>
      <w:r>
        <w:rPr>
          <w:rStyle w:val="FootnoteReference"/>
        </w:rPr>
        <w:footnoteReference w:id="17"/>
      </w:r>
      <w:r>
        <w:rPr>
          <w:color w:val="222222"/>
        </w:rPr>
        <w:t xml:space="preserve"> According to this regulation, an employee whose family member has a serious health condition may provide adequate notice by stating that the “family member is under the continuing care of a health care provider,” or that the family member has a condition that renders her “unable to perform daily activities.” A trier-of-fact could reasonably conclude that the information conveyed by EMPLOYEE did both. EMPLOYEE stated that her mother was still at the hospital, which implies “continuing care,”</w:t>
      </w:r>
      <w:r>
        <w:rPr>
          <w:rStyle w:val="FootnoteReference"/>
        </w:rPr>
        <w:footnoteReference w:id="18"/>
      </w:r>
      <w:r>
        <w:rPr>
          <w:color w:val="222222"/>
        </w:rPr>
        <w:t xml:space="preserve"> and it could be reasonably inferred that a person brought by ambulance to an emergency room and remaining at the hospital is “unable to perform daily activities.”</w:t>
      </w:r>
    </w:p>
    <w:p w14:paraId="74D29EA3" w14:textId="77777777" w:rsidR="00404A2E" w:rsidRDefault="009341B3">
      <w:pPr>
        <w:spacing w:after="160" w:line="300" w:lineRule="auto"/>
      </w:pPr>
      <w:r>
        <w:rPr>
          <w:color w:val="222222"/>
        </w:rPr>
        <w:t xml:space="preserve">Of course, a trier-of-fact could also consider EMPLOYEE’s failure to provide any further information to COMPANY about her mother’s condition when she returned to work the very next day. EMPLOYEE was not necessarily obligated, however, to provide additional information. The regulations state that if an employee’s initial notice reasonably apprises the employer that FMLA may apply, it is the employer’s burden to request additional information if necessary. 29 C.F.R. </w:t>
      </w:r>
      <w:r>
        <w:rPr>
          <w:color w:val="222222"/>
        </w:rPr>
        <w:lastRenderedPageBreak/>
        <w:t>§ 825.303(a). Thus, since we believe there is a genuine dispute about whether EMPLOYEE’s phone call to the nursing supervisor met this standard, her failure to provide further information on the following day at work does not defeat her claim at this stage.</w:t>
      </w:r>
    </w:p>
    <w:p w14:paraId="74D29EA4" w14:textId="77777777" w:rsidR="00404A2E" w:rsidRDefault="009341B3">
      <w:pPr>
        <w:spacing w:before="150" w:after="80"/>
      </w:pPr>
      <w:r>
        <w:rPr>
          <w:b/>
          <w:bCs/>
          <w:i/>
          <w:iCs/>
          <w:color w:val="5A5A5A"/>
        </w:rPr>
        <w:t>(b) “To Care For”</w:t>
      </w:r>
    </w:p>
    <w:p w14:paraId="74D29EA5" w14:textId="77777777" w:rsidR="00404A2E" w:rsidRDefault="009341B3">
      <w:pPr>
        <w:spacing w:after="160" w:line="300" w:lineRule="auto"/>
      </w:pPr>
      <w:r>
        <w:rPr>
          <w:color w:val="222222"/>
        </w:rPr>
        <w:t>COMPANY contends that EMPLOYEE’s notice was deficient because it failed to provide sufficient information from which COMPANY could infer she would “care for” her mother. COMPANY’s arguments on this issue wholly miss the point. FMLA regulations define the term “to care for” as “encompass[</w:t>
      </w:r>
      <w:proofErr w:type="spellStart"/>
      <w:r>
        <w:rPr>
          <w:color w:val="222222"/>
        </w:rPr>
        <w:t>ing</w:t>
      </w:r>
      <w:proofErr w:type="spellEnd"/>
      <w:r>
        <w:rPr>
          <w:color w:val="222222"/>
        </w:rPr>
        <w:t>] both physical and psychological care,” including the provision of “psychological comfort and reassurance which would be beneficial to a ... parent with a serious health condition who is receiving inpatient or home care.” 29 C.F.R. § 825.124(a). We assess the adequacy of EMPLOYEE’s notice, therefore, by considering whether COMPANY could have reasonably inferred she would provide “psychological comfort and reassurance” to her mother.</w:t>
      </w:r>
    </w:p>
    <w:p w14:paraId="74D29EA6" w14:textId="77777777" w:rsidR="00404A2E" w:rsidRDefault="009341B3">
      <w:pPr>
        <w:spacing w:after="160" w:line="300" w:lineRule="auto"/>
      </w:pPr>
      <w:r>
        <w:rPr>
          <w:color w:val="222222"/>
        </w:rPr>
        <w:t xml:space="preserve">COMPANY claims that EMPLOYEE “provided no indication that she was needed to care for her mother—only that her mother had been transported to the hospital.” It is undisputed, however, that EMPLOYEE told COMPANY she was “currently in the emergency room” with her mother and “unable to work that day.” A reasonable </w:t>
      </w:r>
      <w:proofErr w:type="gramStart"/>
      <w:r>
        <w:rPr>
          <w:color w:val="222222"/>
        </w:rPr>
        <w:t>fact-finder</w:t>
      </w:r>
      <w:proofErr w:type="gramEnd"/>
      <w:r>
        <w:rPr>
          <w:color w:val="222222"/>
        </w:rPr>
        <w:t xml:space="preserve"> could infer from these statements that EMPLOYEE was asking for leave to care for her mother. COMPANY implicitly conceded this point at oral argument when it stated that staying and caring for one’s mother under such circumstances “would be a natural thing to do.” If it was “a natural thing to do,” it was certainly reasonable for COMPANY to infer. It matters not that COMPANY received no “doctor’s opinion or report that the mother for some emotional reasons required the presence of [EMPLOYEE] at t</w:t>
      </w:r>
      <w:r>
        <w:rPr>
          <w:color w:val="222222"/>
        </w:rPr>
        <w:t xml:space="preserve">he hospital.” An employer does not need a doctor’s report to realize that a person rushed to the hospital in an ambulance will likely receive “psychological comfort and reassurance” by the presence of their loved ones. See Fioto v. Manhattan Woods Golf Enterprises, LLC, 270 F.Supp.2d 401, 405 (S.D.N.Y.2003); see also Romans v. Mich. </w:t>
      </w:r>
      <w:proofErr w:type="spellStart"/>
      <w:r>
        <w:rPr>
          <w:color w:val="222222"/>
        </w:rPr>
        <w:t>Dep’t</w:t>
      </w:r>
      <w:proofErr w:type="spellEnd"/>
      <w:r>
        <w:rPr>
          <w:color w:val="222222"/>
        </w:rPr>
        <w:t xml:space="preserve"> of Human Servs., 668 F.3d 826, 840–41 (6th Cir.2012).</w:t>
      </w:r>
    </w:p>
    <w:p w14:paraId="74D29EA7" w14:textId="77777777" w:rsidR="00404A2E" w:rsidRDefault="009341B3">
      <w:pPr>
        <w:spacing w:after="160" w:line="300" w:lineRule="auto"/>
      </w:pPr>
      <w:r>
        <w:rPr>
          <w:color w:val="222222"/>
        </w:rPr>
        <w:t>Similarly, it does not matter that COMPANY did not know if EMPLOYEE was an “only child,” or if there were “other family members” at the hospital.</w:t>
      </w:r>
      <w:r>
        <w:rPr>
          <w:rStyle w:val="FootnoteReference"/>
        </w:rPr>
        <w:footnoteReference w:id="19"/>
      </w:r>
      <w:r>
        <w:rPr>
          <w:color w:val="222222"/>
        </w:rPr>
        <w:t xml:space="preserve"> The FMLA regulations expressly state that “[t]he employee need not be the only individual or family member available to care for the family member.” 29 C.F.R. § 825.124(b).</w:t>
      </w:r>
    </w:p>
    <w:p w14:paraId="74D29EA8" w14:textId="77777777" w:rsidR="00404A2E" w:rsidRDefault="009341B3">
      <w:pPr>
        <w:spacing w:after="160" w:line="300" w:lineRule="auto"/>
      </w:pPr>
      <w:r>
        <w:rPr>
          <w:color w:val="222222"/>
        </w:rPr>
        <w:t xml:space="preserve">Finally, there is no merit to COMPANY’s argument that EMPLOYEE’s January 8th letter made it reasonable for COMPANY to infer that EMPLOYEE did not provide care for her mother on January 3rd. The logic of COMPANY’s argument is as follows: (A) since EMPLOYEE’s January 8th letter stated that she needed to care for her mother after her mother left the hospital, ergo </w:t>
      </w:r>
      <w:r>
        <w:rPr>
          <w:color w:val="222222"/>
        </w:rPr>
        <w:lastRenderedPageBreak/>
        <w:t xml:space="preserve">(B) “she wasn’t needed to care for her mother while her mother was in the hospital.” There is nothing inherently contradictory, however, about asking to care for one’s seriously ill </w:t>
      </w:r>
      <w:proofErr w:type="gramStart"/>
      <w:r>
        <w:rPr>
          <w:color w:val="222222"/>
        </w:rPr>
        <w:t>parent</w:t>
      </w:r>
      <w:proofErr w:type="gramEnd"/>
      <w:r>
        <w:rPr>
          <w:color w:val="222222"/>
        </w:rPr>
        <w:t xml:space="preserve"> both during and after their hospital stay. Indeed, the FMLA regulations expressly define “to care for” as including both </w:t>
      </w:r>
      <w:proofErr w:type="gramStart"/>
      <w:r>
        <w:rPr>
          <w:color w:val="222222"/>
        </w:rPr>
        <w:t>care</w:t>
      </w:r>
      <w:proofErr w:type="gramEnd"/>
      <w:r>
        <w:rPr>
          <w:color w:val="222222"/>
        </w:rPr>
        <w:t xml:space="preserve"> provided at home and the hospital. COMPANY’s logic thus relies on a cramped notion of what it means “to care for” under the FMLA.</w:t>
      </w:r>
    </w:p>
    <w:p w14:paraId="74D29EA9" w14:textId="77777777" w:rsidR="00404A2E" w:rsidRDefault="009341B3">
      <w:pPr>
        <w:spacing w:after="160" w:line="300" w:lineRule="auto"/>
      </w:pPr>
      <w:r>
        <w:rPr>
          <w:color w:val="222222"/>
        </w:rPr>
        <w:t>For the reasons stated, a genuine factual dispute exists about whether EMPLOYEE provided adequate notice to timely and reasonably apprise COMPANY that the FMLA may apply to her request for leave. A trier-of-fact considering this question would be entitled to consider the “totality of the circumstances,” including—but not limited to—evidence shedding light on EMPLOYEE’s credibility and EMPLOYEE’s pattern of conduct during and following January 3rd, including her failure to mention her mother’s condition when</w:t>
      </w:r>
      <w:r>
        <w:rPr>
          <w:color w:val="222222"/>
        </w:rPr>
        <w:t xml:space="preserve"> she returned to work on January 4th as well as her email to the SUPERVISOR on January 8th.</w:t>
      </w:r>
    </w:p>
    <w:p w14:paraId="74D29EAA" w14:textId="77777777" w:rsidR="00404A2E" w:rsidRDefault="009341B3">
      <w:pPr>
        <w:spacing w:before="200" w:after="90"/>
      </w:pPr>
      <w:r>
        <w:rPr>
          <w:b/>
          <w:bCs/>
          <w:color w:val="1A1A1A"/>
        </w:rPr>
        <w:t>2. Causation</w:t>
      </w:r>
    </w:p>
    <w:p w14:paraId="74D29EAB" w14:textId="77777777" w:rsidR="00404A2E" w:rsidRDefault="009341B3">
      <w:pPr>
        <w:spacing w:after="160" w:line="300" w:lineRule="auto"/>
      </w:pPr>
      <w:r>
        <w:rPr>
          <w:color w:val="222222"/>
        </w:rPr>
        <w:t>Having determined that a genuine factual dispute exists with respect to the notice prong of EMPLOYEE’s prima facie case, we now consider the question of causation. To demonstrate a prima facie case of causation, EMPLOYEE must point to evidence sufficient to create an inference that a causative link exists between her FMLA leave and her termination. Farrell v. Planters Lifesavers Co., 206 F.3d 271, 279–81 (3d Cir.2000). When the “temporal proximity” between the protected activity and adverse action is “undul</w:t>
      </w:r>
      <w:r>
        <w:rPr>
          <w:color w:val="222222"/>
        </w:rPr>
        <w:t xml:space="preserve">y suggestive,” this “is sufficient standing alone to create an inference of causality and defeat summary judgment.” </w:t>
      </w:r>
      <w:proofErr w:type="spellStart"/>
      <w:r>
        <w:rPr>
          <w:color w:val="222222"/>
        </w:rPr>
        <w:t>LeBoon</w:t>
      </w:r>
      <w:proofErr w:type="spellEnd"/>
      <w:r>
        <w:rPr>
          <w:color w:val="222222"/>
        </w:rPr>
        <w:t xml:space="preserve"> v. Lancaster Jewish </w:t>
      </w:r>
      <w:proofErr w:type="spellStart"/>
      <w:r>
        <w:rPr>
          <w:color w:val="222222"/>
        </w:rPr>
        <w:t>Cmty</w:t>
      </w:r>
      <w:proofErr w:type="spellEnd"/>
      <w:r>
        <w:rPr>
          <w:color w:val="222222"/>
        </w:rPr>
        <w:t xml:space="preserve">. Ctr. </w:t>
      </w:r>
      <w:proofErr w:type="spellStart"/>
      <w:r>
        <w:rPr>
          <w:color w:val="222222"/>
        </w:rPr>
        <w:t>Ass’n</w:t>
      </w:r>
      <w:proofErr w:type="spellEnd"/>
      <w:r>
        <w:rPr>
          <w:color w:val="222222"/>
        </w:rPr>
        <w:t>, 503 F.3d 217, 232 (3d Cir.2007). “Where the temporal proximity is not unusually suggestive, we ask whether the proffered evidence, looked at as a whole, may suffice to raise the inference.” Id. (quoting Farrell, 206 F.3d at 280).</w:t>
      </w:r>
    </w:p>
    <w:p w14:paraId="74D29EAC" w14:textId="77777777" w:rsidR="00404A2E" w:rsidRDefault="009341B3">
      <w:pPr>
        <w:spacing w:after="160" w:line="300" w:lineRule="auto"/>
      </w:pPr>
      <w:r>
        <w:rPr>
          <w:color w:val="222222"/>
        </w:rPr>
        <w:t xml:space="preserve">Here, EMPLOYEE was terminated on January 10th, just seven days after she invoked her right to FMLA leave, and just three days after the SUPERVISOR returned from vacation. Had things </w:t>
      </w:r>
      <w:proofErr w:type="gramStart"/>
      <w:r>
        <w:rPr>
          <w:color w:val="222222"/>
        </w:rPr>
        <w:t>gone</w:t>
      </w:r>
      <w:proofErr w:type="gramEnd"/>
      <w:r>
        <w:rPr>
          <w:color w:val="222222"/>
        </w:rPr>
        <w:t xml:space="preserve"> according to COMPANY’s plan, even less time would have elapsed. Both the SUPERVISOR and the HR DIRECTOR testified that the SUPERVISOR’s plan was to fire EMPLOYEE on January 8th (the first day the SUPERVISOR and EMPLOYEE were scheduled to work the same shift following the SUPERVISOR’s return from vacation). Although there is no bright line rule as to what constitutes unduly suggestive temporal proximity, the temporal proximity in this case is in the realm of what this Court and others have found suffici</w:t>
      </w:r>
      <w:r>
        <w:rPr>
          <w:color w:val="222222"/>
        </w:rPr>
        <w:t>ent at the prima facie stage. See, e.g., Jalil v. Avdel Corp., 873 F.2d 701, 708 (3d Cir.1989) (finding two days unduly suggestive); Seeger v. Cincinnati Bell Tel. Co., 681 F.3d 274, 283 (6th Cir.2012) (three weeks); Wierman v. Casey’s Gen. Stores, 638 F.3d 984, 994 (8th Cir.2011) (four days); cf. McCann v. Tillman, 526 F.3d 1370, 1376 (11th Cir.2008).</w:t>
      </w:r>
    </w:p>
    <w:p w14:paraId="74D29EAD" w14:textId="77777777" w:rsidR="00404A2E" w:rsidRDefault="009341B3">
      <w:pPr>
        <w:spacing w:after="160" w:line="300" w:lineRule="auto"/>
      </w:pPr>
      <w:r>
        <w:rPr>
          <w:color w:val="222222"/>
        </w:rPr>
        <w:t xml:space="preserve">Even if the temporal proximity in this case is not unduly suggestive, there is other evidence from which an inference of causation can be drawn. COMPANY’s position statement to the government agency, for example, specifically listed EMPLOYEE’s January 3rd leave as one of </w:t>
      </w:r>
      <w:r>
        <w:rPr>
          <w:color w:val="222222"/>
        </w:rPr>
        <w:lastRenderedPageBreak/>
        <w:t>her three absences. Since COMPANY’s position statement stated that EMPLOYEE’s attendance problems were one of the reasons it terminated EMPLOYEE, a trier-of-fact could infer that COMPANY considered EMPLOYEE’s January 3rd absence as a negative factor in its termination decision. This inference is supported by other evidence in the record. Specifically, when the SUPERVISOR returned to work on January 7th, she responded to the ACTING SUPERVISOR’s email (the one in which the ACTING SUPERVISOR reported EMPLOYEE’</w:t>
      </w:r>
      <w:r>
        <w:rPr>
          <w:color w:val="222222"/>
        </w:rPr>
        <w:t>s call-off on January 3rd) by requesting EMPLOYEE’s call-off records from the SCHEDULING ASSISTANT. From this, a trier-of-fact could infer that the SUPERVISOR’s decision to request EMPLOYEE’s call-off records, and ergo the SUPERVISOR’s decision that day to terminate EMPLOYEE, was triggered by the SUPERVISOR learning of the January 3rd absence.</w:t>
      </w:r>
    </w:p>
    <w:p w14:paraId="74D29EAE" w14:textId="77777777" w:rsidR="00404A2E" w:rsidRDefault="009341B3">
      <w:pPr>
        <w:spacing w:after="160" w:line="300" w:lineRule="auto"/>
      </w:pPr>
      <w:r>
        <w:rPr>
          <w:color w:val="222222"/>
        </w:rPr>
        <w:t>We recognize that since the ACTING SUPERVISOR’s email made no mention of EMPLOYEE’s reason for calling off, it does not necessarily follow that the SUPERVISOR knew EMPLOYEE’s absence was likely protected under the FMLA. There is other evidence in the record, however, from which this inference could reasonably be drawn. Most tellingly, the SUPERVISOR received a personal email from EMPLOYEE the following day which explicitly stated that EMPLOYEE’s mother had been hospitalized on January 3rd and had remained h</w:t>
      </w:r>
      <w:r>
        <w:rPr>
          <w:color w:val="222222"/>
        </w:rPr>
        <w:t>ospitalized ever since. Moreover, EMPLOYEE’s staff log—which the SUPERVISOR requested and received from the SCHEDULING ASSISTANT on both January 7th and 9th—included a notation that EMPLOYEE missed work on the 3rd because of her “sick mom.” Taken together, these two facts provide a sufficient basis from which to infer that by the time the SUPERVISOR terminated EMPLOYEE, she was on notice that EMPLOYEE’s January 3rd absence may be protected under the FMLA.</w:t>
      </w:r>
    </w:p>
    <w:p w14:paraId="74D29EAF" w14:textId="77777777" w:rsidR="00404A2E" w:rsidRDefault="009341B3">
      <w:pPr>
        <w:spacing w:after="160" w:line="300" w:lineRule="auto"/>
      </w:pPr>
      <w:r>
        <w:rPr>
          <w:color w:val="222222"/>
        </w:rPr>
        <w:t>Although the SUPERVISOR now claims she never read EMPLOYEE’s email nor saw the “sick mom” notation on the staff log, a reasonable trier-of-fact could find these claims unworthy of credence. First, the SUPERVISOR did not merely receive EMPLOYEE’s email; she replied to it. Second, the SUPERVISOR did not merely receive the staff log, she specifically requested it—not once, but twice. Third, the SUPERVISOR’s insistence that she did not know of EMPLOYEE’s mother’s illness</w:t>
      </w:r>
      <w:r>
        <w:rPr>
          <w:rStyle w:val="FootnoteReference"/>
        </w:rPr>
        <w:footnoteReference w:id="20"/>
      </w:r>
      <w:r>
        <w:rPr>
          <w:color w:val="222222"/>
        </w:rPr>
        <w:t xml:space="preserve"> is directly contradicted by the HR DIRECTOR’s deposition. According to the HR DIRECTOR: “What I recall [the SUPERVISOR] saying was that [EMPLOYEE] was stating that she needed to be off to care for her mother.” Thus, even if there is insufficient evidence to show the SUPERVISOR’s knowledge of EMPLOYEE’s protected activity when she returned to work on January 7th, any benefit of this ignorance was lost when </w:t>
      </w:r>
      <w:r>
        <w:rPr>
          <w:color w:val="222222"/>
        </w:rPr>
        <w:lastRenderedPageBreak/>
        <w:t>the SUPERVISOR received EMPLOYEE’s email the next day.</w:t>
      </w:r>
      <w:r>
        <w:rPr>
          <w:rStyle w:val="FootnoteReference"/>
        </w:rPr>
        <w:footnoteReference w:id="21"/>
      </w:r>
      <w:r>
        <w:rPr>
          <w:color w:val="222222"/>
        </w:rPr>
        <w:t xml:space="preserve"> See Brungart v. BellSouth Telecomm., Inc., 231 F.3d 791, 799 (11th Cir.2000).</w:t>
      </w:r>
    </w:p>
    <w:p w14:paraId="74D29EB0" w14:textId="77777777" w:rsidR="00404A2E" w:rsidRDefault="009341B3">
      <w:pPr>
        <w:spacing w:after="160" w:line="300" w:lineRule="auto"/>
      </w:pPr>
      <w:r>
        <w:rPr>
          <w:color w:val="222222"/>
        </w:rPr>
        <w:t>In its brief, COMPANY argues that any inference of causation is defeated by the SUPERVISOR’s claim that she decided to terminate EMPLOYEE prior to January 3rd. This argument is unavailing because, as discussed below in our analysis of pretext, EMPLOYEE has established a genuine dispute about the date of COMPANY’s termination decision and whether it occurred before or after January 3rd.</w:t>
      </w:r>
      <w:r>
        <w:rPr>
          <w:rStyle w:val="FootnoteReference"/>
        </w:rPr>
        <w:footnoteReference w:id="22"/>
      </w:r>
      <w:r>
        <w:rPr>
          <w:color w:val="222222"/>
        </w:rPr>
        <w:t xml:space="preserve"> COMPANY claims, for example, that the SUPERVISOR decided to fire EMPLOYEE for arriving late and leaving early on December 30th. COMPANY’s position statement to the government agency, however, made no mention of this incident as a factor in its decision, and the SUPERVISOR could not even recall when she learned about it. A trier-of-fact could infer from this that COMPANY did not discover the December 30th incident until </w:t>
      </w:r>
      <w:proofErr w:type="gramStart"/>
      <w:r>
        <w:rPr>
          <w:color w:val="222222"/>
        </w:rPr>
        <w:t>sometime</w:t>
      </w:r>
      <w:proofErr w:type="gramEnd"/>
      <w:r>
        <w:rPr>
          <w:color w:val="222222"/>
        </w:rPr>
        <w:t xml:space="preserve"> after EMPLOYEE’s termination. A post hoc ground for termination, while potentia</w:t>
      </w:r>
      <w:r>
        <w:rPr>
          <w:color w:val="222222"/>
        </w:rPr>
        <w:t xml:space="preserve">lly relevant to the calculation of damages, is “irrelevant” to the question of causation. Brenneman, 366 F.3d at 416 n. 2. Accordingly, at this stage, COMPANY does not benefit from the principle that employers need not suspend plans to discipline an employee upon discovering that said employee engaged in protected activity on matters unrelated to the contemplated action. See Clark </w:t>
      </w:r>
      <w:proofErr w:type="spellStart"/>
      <w:r>
        <w:rPr>
          <w:color w:val="222222"/>
        </w:rPr>
        <w:t>Cnty</w:t>
      </w:r>
      <w:proofErr w:type="spellEnd"/>
      <w:r>
        <w:rPr>
          <w:color w:val="222222"/>
        </w:rPr>
        <w:t xml:space="preserve">. Sch. Dist. v. Breeden, 532 U.S. 268, 272, 121 </w:t>
      </w:r>
      <w:proofErr w:type="spellStart"/>
      <w:r>
        <w:rPr>
          <w:color w:val="222222"/>
        </w:rPr>
        <w:t>S.Ct</w:t>
      </w:r>
      <w:proofErr w:type="spellEnd"/>
      <w:r>
        <w:rPr>
          <w:color w:val="222222"/>
        </w:rPr>
        <w:t>. 1508, 149 L.Ed.2d 509 (2001) (establishing this principle in the Title</w:t>
      </w:r>
      <w:r>
        <w:rPr>
          <w:color w:val="222222"/>
        </w:rPr>
        <w:t xml:space="preserve"> VII context); Salameh v. Sears Holding Mgt. Corp., No. 08 C 4372, 2010 WL 183361 (</w:t>
      </w:r>
      <w:proofErr w:type="spellStart"/>
      <w:r>
        <w:rPr>
          <w:color w:val="222222"/>
        </w:rPr>
        <w:t>N.D.Ill</w:t>
      </w:r>
      <w:proofErr w:type="spellEnd"/>
      <w:r>
        <w:rPr>
          <w:color w:val="222222"/>
        </w:rPr>
        <w:t>. Jan. 13, 2010) (applying principle to the FMLA context).</w:t>
      </w:r>
    </w:p>
    <w:p w14:paraId="74D29EB1" w14:textId="77777777" w:rsidR="00404A2E" w:rsidRDefault="009341B3">
      <w:pPr>
        <w:spacing w:after="160" w:line="300" w:lineRule="auto"/>
      </w:pPr>
      <w:r>
        <w:rPr>
          <w:color w:val="222222"/>
        </w:rPr>
        <w:t xml:space="preserve">For </w:t>
      </w:r>
      <w:proofErr w:type="gramStart"/>
      <w:r>
        <w:rPr>
          <w:color w:val="222222"/>
        </w:rPr>
        <w:t>all of</w:t>
      </w:r>
      <w:proofErr w:type="gramEnd"/>
      <w:r>
        <w:rPr>
          <w:color w:val="222222"/>
        </w:rPr>
        <w:t xml:space="preserve"> the abovementioned reasons, we believe EMPLOYEE has presented sufficient evidence to establish a prima facie case of causation. This evidence, when drawing all reasonable inferences in EMPLOYEE’s favor, is sufficient for a fact-finder to conclude: (1) the SUPERVISOR’s decision to terminate EMPLOYEE was triggered by the January 3rd absence; (2) prior to terminating EMPLOYEE, the SUPERVISOR learned that the January 3rd absence was likely taken for an FMLA-qualifying reason; and (3) by proceeding with t</w:t>
      </w:r>
      <w:r>
        <w:rPr>
          <w:color w:val="222222"/>
        </w:rPr>
        <w:t>he termination, the SUPERVISOR considered EMPLOYEE’s FMLA activity a “negative factor” that further justified the termination.</w:t>
      </w:r>
    </w:p>
    <w:p w14:paraId="74D29EB2" w14:textId="77777777" w:rsidR="00404A2E" w:rsidRDefault="009341B3">
      <w:pPr>
        <w:spacing w:before="200" w:after="90"/>
      </w:pPr>
      <w:r>
        <w:rPr>
          <w:b/>
          <w:bCs/>
          <w:color w:val="1A1A1A"/>
        </w:rPr>
        <w:t>3. Pretext</w:t>
      </w:r>
    </w:p>
    <w:p w14:paraId="74D29EB3" w14:textId="77777777" w:rsidR="00404A2E" w:rsidRDefault="009341B3">
      <w:pPr>
        <w:spacing w:after="160" w:line="300" w:lineRule="auto"/>
      </w:pPr>
      <w:r>
        <w:rPr>
          <w:color w:val="222222"/>
        </w:rPr>
        <w:t xml:space="preserve">We now address the legitimate, nondiscriminatory reasons that COMPANY has articulated for terminating EMPLOYEE and consider whether EMPLOYEE has established reasonable doubt that this proffered justification is mere pretext for retaliation. According to COMPANY, </w:t>
      </w:r>
      <w:r>
        <w:rPr>
          <w:color w:val="222222"/>
        </w:rPr>
        <w:lastRenderedPageBreak/>
        <w:t>EMPLOYEE was terminated because of her chronic tardiness and absenteeism, with the “last straw” being her late appearance and early departure on December 30th. Specifically, COMPANY states that “[t]he decision to terminate [EMPLOYEE’s] employment was made after [EMPLOYEE], despite being expressly told that she was to report for her scheduled shift on December 30, 2007, decided to make her own schedule by arriving very late and leaving very early. In fact, the decision was made prior to [the SUPERVISOR] leav</w:t>
      </w:r>
      <w:r>
        <w:rPr>
          <w:color w:val="222222"/>
        </w:rPr>
        <w:t xml:space="preserve">ing the office for vacation on December 30, 2007. Indeed, [the SUPERVISOR] spoke to [the HR DIRECTOR] about the decision to terminate [EMPLOYEE] prior to January 1, </w:t>
      </w:r>
      <w:proofErr w:type="gramStart"/>
      <w:r>
        <w:rPr>
          <w:color w:val="222222"/>
        </w:rPr>
        <w:t>2008</w:t>
      </w:r>
      <w:proofErr w:type="gramEnd"/>
      <w:r>
        <w:rPr>
          <w:color w:val="222222"/>
        </w:rPr>
        <w:t xml:space="preserve"> and [the HR DIRECTOR] concurred in that decision.” COMPANY thus claims that “[n]either the January 3, </w:t>
      </w:r>
      <w:proofErr w:type="gramStart"/>
      <w:r>
        <w:rPr>
          <w:color w:val="222222"/>
        </w:rPr>
        <w:t>2008</w:t>
      </w:r>
      <w:proofErr w:type="gramEnd"/>
      <w:r>
        <w:rPr>
          <w:color w:val="222222"/>
        </w:rPr>
        <w:t xml:space="preserve"> nor January 8, </w:t>
      </w:r>
      <w:proofErr w:type="gramStart"/>
      <w:r>
        <w:rPr>
          <w:color w:val="222222"/>
        </w:rPr>
        <w:t>2008</w:t>
      </w:r>
      <w:proofErr w:type="gramEnd"/>
      <w:r>
        <w:rPr>
          <w:color w:val="222222"/>
        </w:rPr>
        <w:t xml:space="preserve"> absences were taken into account” in the termination decision.</w:t>
      </w:r>
    </w:p>
    <w:p w14:paraId="74D29EB4" w14:textId="77777777" w:rsidR="00404A2E" w:rsidRDefault="009341B3">
      <w:pPr>
        <w:spacing w:after="160" w:line="300" w:lineRule="auto"/>
      </w:pPr>
      <w:proofErr w:type="gramStart"/>
      <w:r>
        <w:rPr>
          <w:color w:val="222222"/>
        </w:rPr>
        <w:t>In order to</w:t>
      </w:r>
      <w:proofErr w:type="gramEnd"/>
      <w:r>
        <w:rPr>
          <w:color w:val="222222"/>
        </w:rPr>
        <w:t xml:space="preserve"> demonstrate that COMPANY’s proffered justification for terminating her is merely pretextual, EMPLOYEE “must point to some evidence, direct or circumstantial, from which a factfinder could reasonably ... disbelieve the employer’s articulated legitimate reasons.” Fuentes, 32 F.3d at 764. To do so, EMPLOYEE “must demonstrate such weaknesses, </w:t>
      </w:r>
      <w:proofErr w:type="spellStart"/>
      <w:r>
        <w:rPr>
          <w:color w:val="222222"/>
        </w:rPr>
        <w:t>implausibilities</w:t>
      </w:r>
      <w:proofErr w:type="spellEnd"/>
      <w:r>
        <w:rPr>
          <w:color w:val="222222"/>
        </w:rPr>
        <w:t>, inconsistencies, incoherencies, or contradictions in [COMPANY’s] proffered legitimate reasons for its actions that a reasonable factfinder could rationa</w:t>
      </w:r>
      <w:r>
        <w:rPr>
          <w:color w:val="222222"/>
        </w:rPr>
        <w:t>lly find them unworthy of credence.” Id. Notwithstanding the District Court’s conclusion to the contrary, we believe EMPLOYEE has met this burden. To begin with, EMPLOYEE has presented evidence that contradicts COMPANY’s two key assertions that (1) the December 30th incident was the “final” straw that triggered EMPLOYEE’s termination, and (2) the SUPERVISOR made the termination decision prior to EMPLOYEE’s absence on January 3rd.</w:t>
      </w:r>
    </w:p>
    <w:p w14:paraId="74D29EB5" w14:textId="77777777" w:rsidR="00404A2E" w:rsidRDefault="009341B3">
      <w:pPr>
        <w:spacing w:after="160" w:line="300" w:lineRule="auto"/>
      </w:pPr>
      <w:r>
        <w:rPr>
          <w:color w:val="222222"/>
        </w:rPr>
        <w:t xml:space="preserve">First, while COMPANY claims that the December 30th incident was the “final straw” triggering EMPLOYEE’s termination, a trier-of-fact could reasonably infer that COMPANY was not even aware of this incident prior to terminating EMPLOYEE. This inference can be drawn from the following evidence: (A) the SUPERVISOR could not recollect when she first learned about the December 30th incident, (B) COMPANY did not cite the incident as a factor in the termination decision in its explanation to the government agency, </w:t>
      </w:r>
      <w:r>
        <w:rPr>
          <w:color w:val="222222"/>
        </w:rPr>
        <w:t>and (C) the incident was not included in EMPLOYEE’s staff log that the SUPERVISOR can be inferred to have reviewed prior to firing her.</w:t>
      </w:r>
    </w:p>
    <w:p w14:paraId="74D29EB6" w14:textId="77777777" w:rsidR="00404A2E" w:rsidRDefault="009341B3">
      <w:pPr>
        <w:spacing w:after="160" w:line="300" w:lineRule="auto"/>
      </w:pPr>
      <w:r>
        <w:rPr>
          <w:color w:val="222222"/>
        </w:rPr>
        <w:t xml:space="preserve">Second, the only evidence </w:t>
      </w:r>
      <w:proofErr w:type="gramStart"/>
      <w:r>
        <w:rPr>
          <w:color w:val="222222"/>
        </w:rPr>
        <w:t>showing</w:t>
      </w:r>
      <w:proofErr w:type="gramEnd"/>
      <w:r>
        <w:rPr>
          <w:color w:val="222222"/>
        </w:rPr>
        <w:t xml:space="preserve"> the SUPERVISOR decided to fire EMPLOYEE prior to going on leave is the SUPERVISOR’s own testimony. This is important because the SUPERVISOR contradicted herself on this very point. At least twice during her deposition the SUPERVISOR stated that she couldn’t recall if she made the termination decision prior to going on vacation. Similarly, although the SUPERVISOR stated that she always spoke with the HR DIRECTOR prior to firing an employee, she testified at least three times during her deposition tha</w:t>
      </w:r>
      <w:r>
        <w:rPr>
          <w:color w:val="222222"/>
        </w:rPr>
        <w:t xml:space="preserve">t she could not recall if she spoke with the HR DIRECTOR before or after going on vacation. These contradictions go to the very core of COMPANY’s proffered reason for terminating EMPLOYEE. They also “raise suspicions” about the SUPERVISOR’s credibility. Not only did the SUPERVISOR repeatedly contradict herself on the timing of her decision, substantial evidence </w:t>
      </w:r>
      <w:r>
        <w:rPr>
          <w:color w:val="222222"/>
        </w:rPr>
        <w:lastRenderedPageBreak/>
        <w:t>contradicts her assertion that she did not know EMPLOYEE’s mother was ill.</w:t>
      </w:r>
      <w:r>
        <w:rPr>
          <w:rStyle w:val="FootnoteReference"/>
        </w:rPr>
        <w:footnoteReference w:id="23"/>
      </w:r>
      <w:r>
        <w:rPr>
          <w:color w:val="222222"/>
        </w:rPr>
        <w:t xml:space="preserve"> Since the SUPERVISOR’s testimony is the only evidence showing that the termination decision was made prior to January 3rd, a trier-of-fact would be justified in giving this evidence little evidentiary weight.</w:t>
      </w:r>
    </w:p>
    <w:p w14:paraId="74D29EB7" w14:textId="77777777" w:rsidR="00404A2E" w:rsidRDefault="009341B3">
      <w:pPr>
        <w:spacing w:after="160" w:line="300" w:lineRule="auto"/>
      </w:pPr>
      <w:r>
        <w:rPr>
          <w:color w:val="222222"/>
        </w:rPr>
        <w:t>In the opinion below, however, the District Court reasoned that the SUPERVISOR’s contradictions were immaterial because they merely pertained to the timing of COMPANY’s decision (i.e., whether the SUPERVISOR made the decision before or after she went on vacation), not to her proffered justification for doing so (i.e., EMPLOYEE’s attendance and scheduling problems). According to the District Court, “[the SUPERVISOR’s] testimony does not offer inconsistent reasons for [EMPLOYEE’s] termination; the reason is c</w:t>
      </w:r>
      <w:r>
        <w:rPr>
          <w:color w:val="222222"/>
        </w:rPr>
        <w:t>onsistently her attendance and scheduling problems.”</w:t>
      </w:r>
      <w:r>
        <w:rPr>
          <w:rStyle w:val="FootnoteReference"/>
        </w:rPr>
        <w:footnoteReference w:id="24"/>
      </w:r>
      <w:r>
        <w:rPr>
          <w:color w:val="222222"/>
        </w:rPr>
        <w:t xml:space="preserve"> The District Court’s reasoning is flawed. The question is not whether COMPANY discharged EMPLOYEE for absenteeism and tardiness; the question is whether EMPLOYEE’s FMLA-qualifying leave on January 3rd was a “negative factor” that hastened her termination. 29 C.F.R. § 825.220(c). The timing of COMPANY’s decision is thus critical to determining whether COMPANY relied solely on the pre-January 3rd incidents, or whether it also considered the January 3rd absence as an additional negative factor.</w:t>
      </w:r>
    </w:p>
    <w:p w14:paraId="74D29EB8" w14:textId="77777777" w:rsidR="00404A2E" w:rsidRDefault="009341B3">
      <w:pPr>
        <w:spacing w:after="160" w:line="300" w:lineRule="auto"/>
      </w:pPr>
      <w:r>
        <w:rPr>
          <w:color w:val="222222"/>
        </w:rPr>
        <w:t xml:space="preserve">The importance of timing to the question of pretext was illustrated in Kohls v. Beverly Enterprises Wisconsin, Inc., 259 F.3d 799 (7th Cir.2001). In Kohls, the employee engaged in behavior prior to taking FMLA leave that was clearly sufficient to warrant her termination. The court noted, however, that there was “an additional twist” to the case because the employer “did not decide to fire [the employee] until </w:t>
      </w:r>
      <w:proofErr w:type="spellStart"/>
      <w:r>
        <w:rPr>
          <w:color w:val="222222"/>
        </w:rPr>
        <w:t>some time</w:t>
      </w:r>
      <w:proofErr w:type="spellEnd"/>
      <w:r>
        <w:rPr>
          <w:color w:val="222222"/>
        </w:rPr>
        <w:t xml:space="preserve"> after she took leave.” This was important, the court explained, because: “We can imagine circumstances in which the timing of this decision could lead a fact finder to infer that the employee would not have been fired absent her taking of leave (if, for example, a supervisor who had been aware of problems with an employee did not decide to fire the employee until she took leave, and the supervisor based the firing on the incidents of which the employer had already been aware).” Although that court</w:t>
      </w:r>
      <w:r>
        <w:rPr>
          <w:color w:val="222222"/>
        </w:rPr>
        <w:t xml:space="preserve"> affirmed summary judgment for the employer, it did so because the record was “clear” that “the employer did not discover many of the deficiencies in [the employee’s] work ... until after [the employee] took leave.”</w:t>
      </w:r>
    </w:p>
    <w:p w14:paraId="74D29EB9" w14:textId="77777777" w:rsidR="00404A2E" w:rsidRDefault="009341B3">
      <w:pPr>
        <w:spacing w:after="160" w:line="300" w:lineRule="auto"/>
      </w:pPr>
      <w:r>
        <w:rPr>
          <w:color w:val="222222"/>
        </w:rPr>
        <w:t>As with the employee in Kohls, EMPLOYEE engaged in behavior that was undoubtedly sufficient for COMPANY to terminate her employment (i.e., attendance and scheduling problems during a probationary period in which a progressive disciplinary policy did not apply). In sharp contrast, however, the record here is clear (</w:t>
      </w:r>
      <w:proofErr w:type="gramStart"/>
      <w:r>
        <w:rPr>
          <w:color w:val="222222"/>
        </w:rPr>
        <w:t>with the exception of</w:t>
      </w:r>
      <w:proofErr w:type="gramEnd"/>
      <w:r>
        <w:rPr>
          <w:color w:val="222222"/>
        </w:rPr>
        <w:t xml:space="preserve"> the December 30th </w:t>
      </w:r>
      <w:r>
        <w:rPr>
          <w:color w:val="222222"/>
        </w:rPr>
        <w:lastRenderedPageBreak/>
        <w:t xml:space="preserve">incident) that COMPANY was aware of EMPLOYEE’s performance deficiencies prior to her taking leave on January 3rd. Despite this knowledge, COMPANY did not fire EMPLOYEE until after she took her January 3rd leave. Although COMPANY insists that the timing can be explained by the simple fact that the SUPERVISOR left for vacation on December 31st and did not have an opportunity to fire EMPLOYEE prior to January 3rd, the SUPERVISOR’s own testimony raises significant doubts </w:t>
      </w:r>
      <w:r>
        <w:rPr>
          <w:color w:val="222222"/>
        </w:rPr>
        <w:t>about this explanation. Indeed, the SUPERVISOR herself could not remember when she made the decision to terminate EMPLOYEE, nor could she remember when she learned of the December 30th incident that purportedly prompted this decision.</w:t>
      </w:r>
    </w:p>
    <w:p w14:paraId="74D29EBA" w14:textId="77777777" w:rsidR="00404A2E" w:rsidRDefault="009341B3">
      <w:pPr>
        <w:spacing w:after="160" w:line="300" w:lineRule="auto"/>
      </w:pPr>
      <w:r>
        <w:rPr>
          <w:color w:val="222222"/>
        </w:rPr>
        <w:t>We believe, therefore, that EMPLOYEE has met her burden of demonstrating pretext because the timing of COMPANY’s decision could lead a fact finder to infer that EMPLOYEE would not have been fired absent her taking of leave.</w:t>
      </w:r>
    </w:p>
    <w:p w14:paraId="74D29EBB" w14:textId="77777777" w:rsidR="00404A2E" w:rsidRDefault="009341B3">
      <w:pPr>
        <w:spacing w:before="240" w:after="100"/>
      </w:pPr>
      <w:r>
        <w:rPr>
          <w:b/>
          <w:bCs/>
          <w:color w:val="1A1A1A"/>
          <w:sz w:val="23"/>
          <w:szCs w:val="23"/>
        </w:rPr>
        <w:t>B. Interference</w:t>
      </w:r>
    </w:p>
    <w:p w14:paraId="74D29EBC" w14:textId="77777777" w:rsidR="00404A2E" w:rsidRDefault="009341B3">
      <w:pPr>
        <w:spacing w:after="160" w:line="300" w:lineRule="auto"/>
      </w:pPr>
      <w:r>
        <w:rPr>
          <w:color w:val="222222"/>
        </w:rPr>
        <w:t>By terminating her employment for having invoked her right to FMLA leave, EMPLOYEE argues COMPANY unlawfully interfered with her rights in violation of 29 U.S.C. § 2615(a)(1). See Erdman, 582 F.3d at 509 (“[F]</w:t>
      </w:r>
      <w:proofErr w:type="spellStart"/>
      <w:r>
        <w:rPr>
          <w:color w:val="222222"/>
        </w:rPr>
        <w:t>iring</w:t>
      </w:r>
      <w:proofErr w:type="spellEnd"/>
      <w:r>
        <w:rPr>
          <w:color w:val="222222"/>
        </w:rPr>
        <w:t xml:space="preserve"> an employee for a valid request for FMLA leave may constitute interference with the employee’s FMLA rights as well as retaliation against the employee.”).</w:t>
      </w:r>
      <w:r>
        <w:rPr>
          <w:rStyle w:val="FootnoteReference"/>
        </w:rPr>
        <w:footnoteReference w:id="25"/>
      </w:r>
      <w:r>
        <w:rPr>
          <w:color w:val="222222"/>
        </w:rPr>
        <w:t xml:space="preserve"> To prevail on her interference claim, EMPLOYEE must show (1) she was entitled to take FMLA leave on January 3rd and/or January 8th, and (2) COMPANY denied her right to do so. See Callison, 430 F.3d at 119.</w:t>
      </w:r>
    </w:p>
    <w:p w14:paraId="74D29EBD" w14:textId="77777777" w:rsidR="00404A2E" w:rsidRDefault="009341B3">
      <w:pPr>
        <w:spacing w:after="160" w:line="300" w:lineRule="auto"/>
      </w:pPr>
      <w:r>
        <w:rPr>
          <w:color w:val="222222"/>
        </w:rPr>
        <w:t>In proving that COMPANY interfered with her rights, EMPLOYEE does not need to prove that COMPANY acted with discriminatory intent. Sommer v. The Vanguard Group, 461 F.3d 397, 399 (3d Cir.2006); Callison, 430 F.3d at 120. The FMLA, however, “does not provide employees with a right against termination for a reason other than interference with rights under the FMLA.” Sarnowski, 510 F.3d at 403. COMPANY, therefore, can defeat EMPLOYEE’s claim if it can demonstrate that EMPLOYEE was terminated for reasons “unrel</w:t>
      </w:r>
      <w:r>
        <w:rPr>
          <w:color w:val="222222"/>
        </w:rPr>
        <w:t xml:space="preserve">ated to” her exercise of rights. Id.; accord Ballato v. Comcast Corp., 676 F.3d 768, 772 (8th Cir.2012) (“If there exists a showing of interference, the burden shifts to the employer to prove there was a reason unrelated to the employee’s exercise of FMLA rights for terminating the employee.”); Michniewicz v. </w:t>
      </w:r>
      <w:proofErr w:type="spellStart"/>
      <w:r>
        <w:rPr>
          <w:color w:val="222222"/>
        </w:rPr>
        <w:t>Metasource</w:t>
      </w:r>
      <w:proofErr w:type="spellEnd"/>
      <w:r>
        <w:rPr>
          <w:color w:val="222222"/>
        </w:rPr>
        <w:t xml:space="preserve">, LLC, 756 F.Supp.2d 657, 666 (E.D.Pa.2010). Whether or not COMPANY will be able to meet its burden, we have no trouble concluding—for the reasons set </w:t>
      </w:r>
      <w:r>
        <w:rPr>
          <w:color w:val="222222"/>
        </w:rPr>
        <w:lastRenderedPageBreak/>
        <w:t>forth in our retaliation analysis above—</w:t>
      </w:r>
      <w:r>
        <w:rPr>
          <w:color w:val="222222"/>
        </w:rPr>
        <w:t>that EMPLOYEE has met her burden at this stage in the litigation.</w:t>
      </w:r>
    </w:p>
    <w:p w14:paraId="74D29EBE" w14:textId="77777777" w:rsidR="00404A2E" w:rsidRDefault="009341B3">
      <w:pPr>
        <w:spacing w:before="300" w:after="120"/>
      </w:pPr>
      <w:bookmarkStart w:id="7" w:name="concl"/>
      <w:r>
        <w:rPr>
          <w:b/>
          <w:bCs/>
          <w:color w:val="1A1A1A"/>
          <w:sz w:val="25"/>
          <w:szCs w:val="25"/>
        </w:rPr>
        <w:t>V. Conclusion</w:t>
      </w:r>
      <w:bookmarkEnd w:id="7"/>
    </w:p>
    <w:p w14:paraId="74D29EBF" w14:textId="77777777" w:rsidR="00404A2E" w:rsidRDefault="009341B3">
      <w:pPr>
        <w:spacing w:after="160" w:line="300" w:lineRule="auto"/>
      </w:pPr>
      <w:r>
        <w:rPr>
          <w:color w:val="222222"/>
        </w:rPr>
        <w:t>For the foregoing reasons, we will vacate the District Court’s grant of summary judgment to COMPANY on both the retaliation and interference claims and remand to the District Court for proceedings consistent with this opinion.</w:t>
      </w:r>
    </w:p>
    <w:p w14:paraId="74D29EC0" w14:textId="77777777" w:rsidR="00404A2E" w:rsidRDefault="009341B3">
      <w:pPr>
        <w:spacing w:before="340" w:after="140"/>
      </w:pPr>
      <w:bookmarkStart w:id="8" w:name="dissent"/>
      <w:r>
        <w:rPr>
          <w:b/>
          <w:bCs/>
          <w:color w:val="C10230"/>
          <w:sz w:val="28"/>
          <w:szCs w:val="28"/>
        </w:rPr>
        <w:t>Dissent</w:t>
      </w:r>
      <w:bookmarkEnd w:id="8"/>
    </w:p>
    <w:p w14:paraId="74D29EC1" w14:textId="77777777" w:rsidR="00404A2E" w:rsidRDefault="009341B3">
      <w:pPr>
        <w:spacing w:after="160" w:line="300" w:lineRule="auto"/>
      </w:pPr>
      <w:r>
        <w:rPr>
          <w:color w:val="222222"/>
        </w:rPr>
        <w:t>Pursuant to the Family and Medical Leave Act of 1993 (FMLA), an employee may qualify for unforeseen FMLA leave only by providing an employer with notice that contains “sufficient information for an employer to reasonably determine whether the FMLA may apply to the leave request.” 29 C.F.R. § 825.303(c). Congress included this notice requirement in order to balance the employee’s entitlement to “reasonable leave” with the “legitimate interests of employers.” 29 U.S.C. § 2601(b)(2); see Aubuchon v. Knauf Fibe</w:t>
      </w:r>
      <w:r>
        <w:rPr>
          <w:color w:val="222222"/>
        </w:rPr>
        <w:t xml:space="preserve">rglass GmbH, 359 F.3d 950, 951 (7th Cir.2004) (Posner, J.) (“Conditioning the right to take FMLA leave on the employee’s giving the required notice to his employer is the quid pro quo for the employer’s partial surrender of control over his work force.”). In keeping with the purpose and language of the FMLA, I would hold as a matter of law that EMPLOYEE failed to provide adequate notice that the FMLA applied to her January 3, </w:t>
      </w:r>
      <w:proofErr w:type="gramStart"/>
      <w:r>
        <w:rPr>
          <w:color w:val="222222"/>
        </w:rPr>
        <w:t>2008</w:t>
      </w:r>
      <w:proofErr w:type="gramEnd"/>
      <w:r>
        <w:rPr>
          <w:color w:val="222222"/>
        </w:rPr>
        <w:t xml:space="preserve"> absence, and I would affirm the District Court’s grant of summary judgment to</w:t>
      </w:r>
      <w:r>
        <w:rPr>
          <w:color w:val="222222"/>
        </w:rPr>
        <w:t xml:space="preserve"> COMPANY. For the reasons given below, and despite the majority’s well-crafted opinion, I respectfully dissent.</w:t>
      </w:r>
    </w:p>
    <w:p w14:paraId="74D29EC2" w14:textId="77777777" w:rsidR="00404A2E" w:rsidRDefault="009341B3">
      <w:pPr>
        <w:spacing w:after="160" w:line="300" w:lineRule="auto"/>
      </w:pPr>
      <w:r>
        <w:rPr>
          <w:color w:val="222222"/>
        </w:rPr>
        <w:t xml:space="preserve">For her interference and retaliation claims to survive summary judgment, EMPLOYEE must introduce evidence that she was entitled to FMLA benefits. Hayduk v. City of Johnstown, 386 </w:t>
      </w:r>
      <w:proofErr w:type="spellStart"/>
      <w:r>
        <w:rPr>
          <w:color w:val="222222"/>
        </w:rPr>
        <w:t>Fed.Appx</w:t>
      </w:r>
      <w:proofErr w:type="spellEnd"/>
      <w:r>
        <w:rPr>
          <w:color w:val="222222"/>
        </w:rPr>
        <w:t>. 55, 60 (3d Cir.2010) (“[T]he first elements of both theories [i.e., interference and retaliation] are essentially identical: a plaintiff ... must establish, among other things, that he had a right to FMLA benefits.”). To establish that entitlement, EMPLOYEE must demonstrate that she gave her employer adequate notice of the need for FMLA leave. See id. Federal regulations require that an employee “state a qualifying reason for the needed leave.” 29 C.F.R. § 825.301(b). When the need for leave is un</w:t>
      </w:r>
      <w:r>
        <w:rPr>
          <w:color w:val="222222"/>
        </w:rPr>
        <w:t>foreseeable, employees must give notice “as soon as practicable under the facts and circumstances of the particular case” and according to the employer’s “usual and customary notice and procedural requirements.” Id. § 825.303(a) &amp; (c). The employee “need not expressly assert rights under the FMLA or even mention the FMLA,” but must “provide sufficient information for an employer to reasonably determine whether the FMLA may apply to the leave request.” Id. § 825.303(b). Compare Sarnowski v. Air Brooke Limous</w:t>
      </w:r>
      <w:r>
        <w:rPr>
          <w:color w:val="222222"/>
        </w:rPr>
        <w:t>ine, Inc., 510 F.3d 398, 402 (3d Cir.2007) (“In providing notice, the employee need not use any magic words.”), with Hayduk v. City of Johnstown, 580 F.Supp.2d 429, 471 (W.D.Pa.2008) (“The FMLA does not require an employer to be clairvoyant.”) (quoting Brenneman v. MedCentral Health Sys., 366 F.3d 412, 428 (6th Cir.</w:t>
      </w:r>
      <w:proofErr w:type="gramStart"/>
      <w:r>
        <w:rPr>
          <w:color w:val="222222"/>
        </w:rPr>
        <w:t>2004))</w:t>
      </w:r>
      <w:proofErr w:type="gramEnd"/>
      <w:r>
        <w:rPr>
          <w:color w:val="222222"/>
        </w:rPr>
        <w:t xml:space="preserve">. The employer may </w:t>
      </w:r>
      <w:r>
        <w:rPr>
          <w:color w:val="222222"/>
        </w:rPr>
        <w:lastRenderedPageBreak/>
        <w:t>have a duty to “inquire further ... to ascertain whether leave is potentially FMLA-qualifying,” 29 C.F.R. § 825.301(a), but that duty only arises when the employee provid</w:t>
      </w:r>
      <w:r>
        <w:rPr>
          <w:color w:val="222222"/>
        </w:rPr>
        <w:t xml:space="preserve">es adequate notice. See Wilson v. Lemington Home for the Aged, 159 F.Supp.2d 186, 192 (W.D.Pa.2001); De Luca v. </w:t>
      </w:r>
      <w:proofErr w:type="spellStart"/>
      <w:r>
        <w:rPr>
          <w:color w:val="222222"/>
        </w:rPr>
        <w:t>Trs</w:t>
      </w:r>
      <w:proofErr w:type="spellEnd"/>
      <w:r>
        <w:rPr>
          <w:color w:val="222222"/>
        </w:rPr>
        <w:t>. of Univ. of Pa., 834 F.Supp.2d 282, 293 (E.D.Pa.2011).</w:t>
      </w:r>
    </w:p>
    <w:p w14:paraId="74D29EC3" w14:textId="77777777" w:rsidR="00404A2E" w:rsidRDefault="009341B3">
      <w:pPr>
        <w:spacing w:after="160" w:line="300" w:lineRule="auto"/>
      </w:pPr>
      <w:r>
        <w:rPr>
          <w:color w:val="222222"/>
        </w:rPr>
        <w:t>EMPLOYEE contends that she gave proper notice when she called off on January 3 and told the nursing supervisor, “I was currently in the emergency room, that my mother had been brought into the hospital via ambulance, and I would be unable to work that day.” I agree with my colleagues that the notice issue is generally a question of fact and “the critical test is not whether the employee gave every necessary detail to determine if the FMLA applies, but how the information conveyed to the employer is reasonab</w:t>
      </w:r>
      <w:r>
        <w:rPr>
          <w:color w:val="222222"/>
        </w:rPr>
        <w:t>ly interpreted.” However, I cannot agree that “genuine factual disputes exist about whether [EMPLOYEE’s] notice was adequate.”</w:t>
      </w:r>
    </w:p>
    <w:p w14:paraId="74D29EC4" w14:textId="77777777" w:rsidR="00404A2E" w:rsidRDefault="009341B3">
      <w:pPr>
        <w:spacing w:after="160" w:line="300" w:lineRule="auto"/>
      </w:pPr>
      <w:r>
        <w:rPr>
          <w:color w:val="222222"/>
        </w:rPr>
        <w:t>EMPLOYEE did not state a qualifying reason for her January 3 absence because she failed to mention essential details that were critical for adequate notice, namely the seriousness of her mother’s condition and her mother’s need for care. EMPLOYEE conveyed to COMPANY that her mother was at the hospital, but not that her mother was suffering from a serious health condition. According to the majority, EMPLOYEE’s notice might have been sufficient because “many people in [her mother’s] situation do require [FMLA</w:t>
      </w:r>
      <w:r>
        <w:rPr>
          <w:color w:val="222222"/>
        </w:rPr>
        <w:t>-qualifying] care.” This view imposes on employers a much broader obligation than, I believe, the FMLA requires.</w:t>
      </w:r>
    </w:p>
    <w:p w14:paraId="74D29EC5" w14:textId="77777777" w:rsidR="00404A2E" w:rsidRDefault="009341B3">
      <w:pPr>
        <w:spacing w:after="160" w:line="300" w:lineRule="auto"/>
      </w:pPr>
      <w:r>
        <w:rPr>
          <w:color w:val="222222"/>
        </w:rPr>
        <w:t>Consider, for example, an employee who calls out from work saying she needs to go to the hospital. Whether that employee is going to the hospital for an emergency procedure, a routine check-up, or just to pick up a friend, the majority’s reasoning dictates that the notice cannot be designated inadequate as a matter of law because “many people in this situation” require care for a serious health condition. Indeed, simply calling out “sick” would qualify as sufficient notice under the majority’s reading of th</w:t>
      </w:r>
      <w:r>
        <w:rPr>
          <w:color w:val="222222"/>
        </w:rPr>
        <w:t>e FMLA had the Department of Labor not adopted an explicit rule to the contrary. “If you have brain cancer but just tell your employer that you have a headache, you have not given the notice that the Act requires.” Aubuchon, 359 F.3d at 952.</w:t>
      </w:r>
      <w:r>
        <w:rPr>
          <w:rStyle w:val="FootnoteReference"/>
        </w:rPr>
        <w:footnoteReference w:id="26"/>
      </w:r>
      <w:r>
        <w:rPr>
          <w:color w:val="222222"/>
        </w:rPr>
        <w:t xml:space="preserve"> The majority’s lenient reading of the notice requirement distorts the balance Congress and the Department of Labor struck between employee and employer interests, and improperly “place[s] a substantial and largely wasted investigative burden on employers.” Id. at 953.</w:t>
      </w:r>
    </w:p>
    <w:p w14:paraId="74D29EC6" w14:textId="77777777" w:rsidR="00404A2E" w:rsidRDefault="009341B3">
      <w:pPr>
        <w:spacing w:after="160" w:line="300" w:lineRule="auto"/>
      </w:pPr>
      <w:r>
        <w:rPr>
          <w:color w:val="222222"/>
        </w:rPr>
        <w:t xml:space="preserve">EMPLOYEE also conveyed to COMPANY that she needed the day off, but not that the day off was necessary to care for her mother. Though COMPANY conceded that caring for one’s mother under such circumstances “would be a natural thing to do,” empathy cannot make up for EMPLOYEE’s failure to mention an FMLA-qualifying reason for her absence. See Aubuchon, 359 F.3d at 952 (“Wanting to stay home with one’s wife until she has the baby, while </w:t>
      </w:r>
      <w:r>
        <w:rPr>
          <w:color w:val="222222"/>
        </w:rPr>
        <w:lastRenderedPageBreak/>
        <w:t>understandable, is not the same thing as wanting to stay home to care for a spouse who has a serious health condition.”).</w:t>
      </w:r>
    </w:p>
    <w:p w14:paraId="74D29EC7" w14:textId="77777777" w:rsidR="00404A2E" w:rsidRDefault="009341B3">
      <w:pPr>
        <w:spacing w:after="160" w:line="300" w:lineRule="auto"/>
      </w:pPr>
      <w:r>
        <w:rPr>
          <w:color w:val="222222"/>
        </w:rPr>
        <w:t>In addition to omitting critical details from her statements to the nursing supervisor, EMPLOYEE failed to provide notice “as soon as practicable.” She returned to work on January 4—while her mother was still in the hospital—and did not notify a supervisor about her mother’s serious health condition. EMPLOYEE even testified at her deposition that she first asked for FMLA leave on January 8, not January 3. Even if her request for leave on January 8 was made “as soon as practicable,” which it was not, the dir</w:t>
      </w:r>
      <w:r>
        <w:rPr>
          <w:color w:val="222222"/>
        </w:rPr>
        <w:t>ect evidence in the record indicates only that the decision was made to terminate EMPLOYEE before the 8th.</w:t>
      </w:r>
    </w:p>
    <w:p w14:paraId="74D29EC8" w14:textId="77777777" w:rsidR="00404A2E" w:rsidRDefault="009341B3">
      <w:pPr>
        <w:spacing w:after="160" w:line="300" w:lineRule="auto"/>
      </w:pPr>
      <w:r>
        <w:rPr>
          <w:color w:val="222222"/>
        </w:rPr>
        <w:t>There are situations in which an employee provides sufficient notice to trigger an employer’s duty to inquire, but this is not one of them. That EMPLOYEE’s statements might reasonably be construed as providing adequate notice is a bridge too far. If notice is adequate when an employer can “reasonably determine whether the FMLA may apply,” then we should find that notice is inadequate when, as in this case, an employee omits vital pieces of information that would distinguish FMLA leave from an ordinary absen</w:t>
      </w:r>
      <w:r>
        <w:rPr>
          <w:color w:val="222222"/>
        </w:rPr>
        <w:t>ce.</w:t>
      </w:r>
    </w:p>
    <w:p w14:paraId="74D29EC9" w14:textId="77777777" w:rsidR="00404A2E" w:rsidRDefault="009341B3">
      <w:pPr>
        <w:spacing w:after="160" w:line="300" w:lineRule="auto"/>
      </w:pPr>
      <w:r>
        <w:rPr>
          <w:color w:val="222222"/>
        </w:rPr>
        <w:t xml:space="preserve">If EMPLOYEE’s statements could reasonably be interpreted as sufficient notice of her need for FMLA leave, I would join my colleagues and reverse the grant of summary judgment. However, I believe that the statements are insufficient as a matter of law. </w:t>
      </w:r>
      <w:proofErr w:type="gramStart"/>
      <w:r>
        <w:rPr>
          <w:color w:val="222222"/>
        </w:rPr>
        <w:t>Thus</w:t>
      </w:r>
      <w:proofErr w:type="gramEnd"/>
      <w:r>
        <w:rPr>
          <w:color w:val="222222"/>
        </w:rPr>
        <w:t xml:space="preserve"> I respectfully dissent.</w:t>
      </w:r>
    </w:p>
    <w:sectPr w:rsidR="00404A2E">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BBB01" w14:textId="77777777" w:rsidR="009341B3" w:rsidRDefault="009341B3">
      <w:r>
        <w:separator/>
      </w:r>
    </w:p>
  </w:endnote>
  <w:endnote w:type="continuationSeparator" w:id="0">
    <w:p w14:paraId="27825AC2" w14:textId="77777777" w:rsidR="009341B3" w:rsidRDefault="0093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29ECA" w14:textId="3BBAA42F" w:rsidR="00404A2E" w:rsidRDefault="009341B3">
    <w:pPr>
      <w:pBdr>
        <w:top w:val="single" w:sz="4" w:space="6" w:color="E3E0DB"/>
      </w:pBdr>
      <w:jc w:val="center"/>
    </w:pPr>
    <w:r>
      <w:rPr>
        <w:color w:val="999999"/>
        <w:sz w:val="16"/>
        <w:szCs w:val="16"/>
      </w:rPr>
      <w:t xml:space="preserve">Anonymized </w:t>
    </w:r>
    <w:proofErr w:type="gramStart"/>
    <w:r>
      <w:rPr>
        <w:color w:val="999999"/>
        <w:sz w:val="16"/>
        <w:szCs w:val="16"/>
      </w:rPr>
      <w:t>opinion  ·</w:t>
    </w:r>
    <w:proofErr w:type="gramEnd"/>
    <w:r>
      <w:rPr>
        <w:color w:val="999999"/>
        <w:sz w:val="16"/>
        <w:szCs w:val="16"/>
      </w:rPr>
      <w:t xml:space="preserve">  AAIM Employers’ </w:t>
    </w:r>
    <w:proofErr w:type="gramStart"/>
    <w:r>
      <w:rPr>
        <w:color w:val="999999"/>
        <w:sz w:val="16"/>
        <w:szCs w:val="16"/>
      </w:rPr>
      <w:t>Association  ·</w:t>
    </w:r>
    <w:proofErr w:type="gramEnd"/>
    <w:r>
      <w:rPr>
        <w:color w:val="999999"/>
        <w:sz w:val="16"/>
        <w:szCs w:val="16"/>
      </w:rPr>
      <w:t xml:space="preserve">  Page </w:t>
    </w:r>
    <w:r>
      <w:rPr>
        <w:color w:val="999999"/>
        <w:sz w:val="16"/>
        <w:szCs w:val="16"/>
      </w:rPr>
      <w:fldChar w:fldCharType="begin"/>
    </w:r>
    <w:r>
      <w:rPr>
        <w:color w:val="999999"/>
        <w:sz w:val="16"/>
        <w:szCs w:val="16"/>
      </w:rPr>
      <w:instrText>PAGE</w:instrText>
    </w:r>
    <w:r>
      <w:rPr>
        <w:color w:val="999999"/>
        <w:sz w:val="16"/>
        <w:szCs w:val="16"/>
      </w:rPr>
      <w:fldChar w:fldCharType="separate"/>
    </w:r>
    <w:r w:rsidR="00DF6B14">
      <w:rPr>
        <w:noProof/>
        <w:color w:val="999999"/>
        <w:sz w:val="16"/>
        <w:szCs w:val="16"/>
      </w:rPr>
      <w:t>1</w:t>
    </w:r>
    <w:r>
      <w:rPr>
        <w:color w:val="999999"/>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CC1CC" w14:textId="77777777" w:rsidR="009341B3" w:rsidRDefault="009341B3">
      <w:r>
        <w:separator/>
      </w:r>
    </w:p>
  </w:footnote>
  <w:footnote w:type="continuationSeparator" w:id="0">
    <w:p w14:paraId="7FFBD186" w14:textId="77777777" w:rsidR="009341B3" w:rsidRDefault="009341B3">
      <w:r>
        <w:continuationSeparator/>
      </w:r>
    </w:p>
  </w:footnote>
  <w:footnote w:id="1">
    <w:p w14:paraId="74D29ECB" w14:textId="77777777" w:rsidR="00404A2E" w:rsidRDefault="009341B3">
      <w:pPr>
        <w:spacing w:after="60" w:line="252" w:lineRule="auto"/>
      </w:pPr>
      <w:r>
        <w:rPr>
          <w:rStyle w:val="FootnoteReference"/>
        </w:rPr>
        <w:footnoteRef/>
      </w:r>
      <w:r>
        <w:rPr>
          <w:color w:val="444444"/>
          <w:sz w:val="18"/>
          <w:szCs w:val="18"/>
        </w:rPr>
        <w:t>Our reference to COMPANY throughout this opinion, unless otherwise indicated, is a collective reference to all defendants in this case, including COMPANY’s affiliated entities and the SUPERVISOR.</w:t>
      </w:r>
    </w:p>
  </w:footnote>
  <w:footnote w:id="2">
    <w:p w14:paraId="74D29ECC" w14:textId="77777777" w:rsidR="00404A2E" w:rsidRDefault="009341B3">
      <w:pPr>
        <w:spacing w:after="60" w:line="252" w:lineRule="auto"/>
      </w:pPr>
      <w:r>
        <w:rPr>
          <w:rStyle w:val="FootnoteReference"/>
        </w:rPr>
        <w:footnoteRef/>
      </w:r>
      <w:r>
        <w:rPr>
          <w:color w:val="444444"/>
          <w:sz w:val="18"/>
          <w:szCs w:val="18"/>
        </w:rPr>
        <w:t>In addition to her full-time position, EMPLOYEE was also a part-time student. During her job interview, the SUPERVISOR told EMPLOYEE that COMPANY would attempt to accommodate her school schedule.</w:t>
      </w:r>
    </w:p>
  </w:footnote>
  <w:footnote w:id="3">
    <w:p w14:paraId="74D29ECD" w14:textId="77777777" w:rsidR="00404A2E" w:rsidRDefault="009341B3">
      <w:pPr>
        <w:spacing w:after="60" w:line="252" w:lineRule="auto"/>
      </w:pPr>
      <w:r>
        <w:rPr>
          <w:rStyle w:val="FootnoteReference"/>
        </w:rPr>
        <w:footnoteRef/>
      </w:r>
      <w:r>
        <w:rPr>
          <w:color w:val="444444"/>
          <w:sz w:val="18"/>
          <w:szCs w:val="18"/>
        </w:rPr>
        <w:t>The staff log was maintained by the SCHEDULING ASSISTANT. The “time log,” on the other hand, was maintained through COMPANY’s computerized system. As discussed below, the staff log is the document the SUPERVISOR reviewed prior to terminating EMPLOYEE, and is the document COMPANY submitted to the government agency as “Exhibit M” to document EMPLOYEE’s attendance problems.</w:t>
      </w:r>
    </w:p>
  </w:footnote>
  <w:footnote w:id="4">
    <w:p w14:paraId="74D29ECE" w14:textId="77777777" w:rsidR="00404A2E" w:rsidRDefault="009341B3">
      <w:pPr>
        <w:spacing w:after="60" w:line="252" w:lineRule="auto"/>
      </w:pPr>
      <w:r>
        <w:rPr>
          <w:rStyle w:val="FootnoteReference"/>
        </w:rPr>
        <w:footnoteRef/>
      </w:r>
      <w:r>
        <w:rPr>
          <w:color w:val="444444"/>
          <w:sz w:val="18"/>
          <w:szCs w:val="18"/>
        </w:rPr>
        <w:t>When asked when she first learned of the December 30th incident, the SUPERVISOR stated “I can’t remember that.”</w:t>
      </w:r>
    </w:p>
  </w:footnote>
  <w:footnote w:id="5">
    <w:p w14:paraId="74D29ECF" w14:textId="77777777" w:rsidR="00404A2E" w:rsidRDefault="009341B3">
      <w:pPr>
        <w:spacing w:after="60" w:line="252" w:lineRule="auto"/>
      </w:pPr>
      <w:r>
        <w:rPr>
          <w:rStyle w:val="FootnoteReference"/>
        </w:rPr>
        <w:footnoteRef/>
      </w:r>
      <w:r>
        <w:rPr>
          <w:color w:val="444444"/>
          <w:sz w:val="18"/>
          <w:szCs w:val="18"/>
        </w:rPr>
        <w:t>It is undisputed that by calling the nursing supervisor when she did on January 3rd, EMPLOYEE followed COMPANY’s proper procedure for calling off sick. Nevertheless, the adequacy of the notice she gave is an issue in this case.</w:t>
      </w:r>
    </w:p>
  </w:footnote>
  <w:footnote w:id="6">
    <w:p w14:paraId="74D29ED0" w14:textId="77777777" w:rsidR="00404A2E" w:rsidRDefault="009341B3">
      <w:pPr>
        <w:spacing w:after="60" w:line="252" w:lineRule="auto"/>
      </w:pPr>
      <w:r>
        <w:rPr>
          <w:rStyle w:val="FootnoteReference"/>
        </w:rPr>
        <w:footnoteRef/>
      </w:r>
      <w:r>
        <w:rPr>
          <w:color w:val="444444"/>
          <w:sz w:val="18"/>
          <w:szCs w:val="18"/>
        </w:rPr>
        <w:t>The SUPERVISOR also requested and received from the SCHEDULING ASSISTANT a copy of EMPLOYEE’s staff log on January 9th as well.</w:t>
      </w:r>
    </w:p>
  </w:footnote>
  <w:footnote w:id="7">
    <w:p w14:paraId="74D29ED1" w14:textId="77777777" w:rsidR="00404A2E" w:rsidRDefault="009341B3">
      <w:pPr>
        <w:spacing w:after="60" w:line="252" w:lineRule="auto"/>
      </w:pPr>
      <w:r>
        <w:rPr>
          <w:rStyle w:val="FootnoteReference"/>
        </w:rPr>
        <w:footnoteRef/>
      </w:r>
      <w:r>
        <w:rPr>
          <w:color w:val="444444"/>
          <w:sz w:val="18"/>
          <w:szCs w:val="18"/>
        </w:rPr>
        <w:t>The SUPERVISOR’s reply email was not simply an automated out-of-office reply. In the email, the SUPERVISOR stated: “I am out of the office today, please call [the SCHEDULING ASSISTANT] to schedule a time that you can come in and meet with me tomorrow [January 10th].”</w:t>
      </w:r>
    </w:p>
  </w:footnote>
  <w:footnote w:id="8">
    <w:p w14:paraId="74D29ED2" w14:textId="77777777" w:rsidR="00404A2E" w:rsidRDefault="009341B3">
      <w:pPr>
        <w:spacing w:after="60" w:line="252" w:lineRule="auto"/>
      </w:pPr>
      <w:r>
        <w:rPr>
          <w:rStyle w:val="FootnoteReference"/>
        </w:rPr>
        <w:footnoteRef/>
      </w:r>
      <w:r>
        <w:rPr>
          <w:color w:val="444444"/>
          <w:sz w:val="18"/>
          <w:szCs w:val="18"/>
        </w:rPr>
        <w:t>The District Court had jurisdiction pursuant to 28 U.S.C. § 1331. We have jurisdiction pursuant to 28 U.S.C. § 1291.</w:t>
      </w:r>
    </w:p>
  </w:footnote>
  <w:footnote w:id="9">
    <w:p w14:paraId="74D29ED3" w14:textId="77777777" w:rsidR="00404A2E" w:rsidRDefault="009341B3">
      <w:pPr>
        <w:spacing w:after="60" w:line="252" w:lineRule="auto"/>
      </w:pPr>
      <w:r>
        <w:rPr>
          <w:rStyle w:val="FootnoteReference"/>
        </w:rPr>
        <w:footnoteRef/>
      </w:r>
      <w:r>
        <w:rPr>
          <w:color w:val="444444"/>
          <w:sz w:val="18"/>
          <w:szCs w:val="18"/>
        </w:rPr>
        <w:t>See generally Cavin v. Honda of America Mfg., Inc., 346 F.3d 713, 722 (6th Cir.2003) (“The regulations suggest that notice requirements for unforeseeable leave are more relaxed than the requirements for foreseeable leave, in keeping with the idea that an unforeseeable need for leave will often arise in the context of a medical emergency.”).</w:t>
      </w:r>
    </w:p>
  </w:footnote>
  <w:footnote w:id="10">
    <w:p w14:paraId="74D29ED4" w14:textId="77777777" w:rsidR="00404A2E" w:rsidRDefault="009341B3">
      <w:pPr>
        <w:spacing w:after="60" w:line="252" w:lineRule="auto"/>
      </w:pPr>
      <w:r>
        <w:rPr>
          <w:rStyle w:val="FootnoteReference"/>
        </w:rPr>
        <w:footnoteRef/>
      </w:r>
      <w:r>
        <w:rPr>
          <w:color w:val="444444"/>
          <w:sz w:val="18"/>
          <w:szCs w:val="18"/>
        </w:rPr>
        <w:t>The regulation does not specify which of the two statutory provisions is the specific source of this prohibition. See 29 C.F.R. § 825.220(c). Perhaps not surprisingly, therefore, courts interpreting the regulation have reached different conclusions on this question. See Conoshenti v. Public Serv. Elec. &amp; Gas Co., 364 F.3d 135, 146 n. 9 (3d Cir.2004) (citing cases). As with the Ninth Circuit, we have predicated liability for retaliation based on an employee’s exercise of FMLA rights on the regulation itself.</w:t>
      </w:r>
      <w:r>
        <w:rPr>
          <w:color w:val="444444"/>
          <w:sz w:val="18"/>
          <w:szCs w:val="18"/>
        </w:rPr>
        <w:t xml:space="preserve"> Id. Our discussion on this point, however, has spurred its own share of confusion, with some courts citing Conoshenti as specifically locating these claims in 29 U.S.C. § 2615(a)(1). See, e.g., Phillips v. Mathews, 547 F.3d 905, 914 (8th Cir.2008) (Colloton, J., concurring). Adding a further wrinkle, the Department of Labor has subsequently amended the first sentence of 29 C.F.R. § 825.220(c) to include, inter alia, the words “interference” and “retaliating.” See 73 Fed.Reg. 67934, 68055 (Nov. 17, 2008); L</w:t>
      </w:r>
      <w:r>
        <w:rPr>
          <w:color w:val="444444"/>
          <w:sz w:val="18"/>
          <w:szCs w:val="18"/>
        </w:rPr>
        <w:t>ovland v. Emp’rs Mut. Cas. Co., 674 F.3d 806, 811 (8th Cir.2012). Since the parties have not briefed this matter, and because it does not affect the resolution of this appeal, we do not resolve here whether the regulation’s amended language has any material impact on our reasoning in Conoshenti.</w:t>
      </w:r>
    </w:p>
  </w:footnote>
  <w:footnote w:id="11">
    <w:p w14:paraId="74D29ED5" w14:textId="77777777" w:rsidR="00404A2E" w:rsidRDefault="009341B3">
      <w:pPr>
        <w:spacing w:after="60" w:line="252" w:lineRule="auto"/>
      </w:pPr>
      <w:r>
        <w:rPr>
          <w:rStyle w:val="FootnoteReference"/>
        </w:rPr>
        <w:footnoteRef/>
      </w:r>
      <w:r>
        <w:rPr>
          <w:color w:val="444444"/>
          <w:sz w:val="18"/>
          <w:szCs w:val="18"/>
        </w:rPr>
        <w:t>Although this Court has not specifically ruled that the McDonnell Douglas framework applies to FMLA-retaliation claims based on circumstantial evidence, this is implied by our application of Price Waterhouse to claims based on direct evidence, Conoshenti, 364 F.3d at 147, and is the prevailing rule of the federal courts, see, e.g., Colburn v. Parker Hannifin/Nichols Portland Div., 429 F.3d 325, 331–32 (1st Cir.2005); Potenza v. City of New York, 365 F.3d 165, 167–68 (2d Cir.2004); King v. Preferred Technica</w:t>
      </w:r>
      <w:r>
        <w:rPr>
          <w:color w:val="444444"/>
          <w:sz w:val="18"/>
          <w:szCs w:val="18"/>
        </w:rPr>
        <w:t>l Grp., 166 F.3d 887, 891 (7th Cir.1999).</w:t>
      </w:r>
    </w:p>
  </w:footnote>
  <w:footnote w:id="12">
    <w:p w14:paraId="74D29ED6" w14:textId="77777777" w:rsidR="00404A2E" w:rsidRDefault="009341B3">
      <w:pPr>
        <w:spacing w:after="60" w:line="252" w:lineRule="auto"/>
      </w:pPr>
      <w:r>
        <w:rPr>
          <w:rStyle w:val="FootnoteReference"/>
        </w:rPr>
        <w:footnoteRef/>
      </w:r>
      <w:r>
        <w:rPr>
          <w:color w:val="444444"/>
          <w:sz w:val="18"/>
          <w:szCs w:val="18"/>
        </w:rPr>
        <w:t>See, e.g., Twigg v. Hawker Beechcraft Corp., 659 F.3d 987, 1004 (10th Cir.2011) (“In light of the recent decision of the United States Supreme Court in Gross ... there is a substantial question whether a mixed motive analysis would apply in a retaliation claim under the FMLA.”).</w:t>
      </w:r>
    </w:p>
  </w:footnote>
  <w:footnote w:id="13">
    <w:p w14:paraId="74D29ED7" w14:textId="77777777" w:rsidR="00404A2E" w:rsidRDefault="009341B3">
      <w:pPr>
        <w:spacing w:after="60" w:line="252" w:lineRule="auto"/>
      </w:pPr>
      <w:r>
        <w:rPr>
          <w:rStyle w:val="FootnoteReference"/>
        </w:rPr>
        <w:footnoteRef/>
      </w:r>
      <w:r>
        <w:rPr>
          <w:color w:val="444444"/>
          <w:sz w:val="18"/>
          <w:szCs w:val="18"/>
        </w:rPr>
        <w:t xml:space="preserve">Our reference to COMPANY in this section is limited to the corporate defendants, as the SUPERVISOR was not a party to EMPLOYEE’s phone conversation with the nursing supervisor on January 3rd and there is no evidence that she was aware of the exact information EMPLOYEE conveyed. She later learned, however, from both the staff log and EMPLOYEE’s email to her, that EMPLOYEE’s mother had been hospitalized on January 3rd and that EMPLOYEE had called off on the same day to be with her “sick mom.” As set forth in </w:t>
      </w:r>
      <w:r>
        <w:rPr>
          <w:color w:val="444444"/>
          <w:sz w:val="18"/>
          <w:szCs w:val="18"/>
        </w:rPr>
        <w:t>our discussion of causation below, there is a genuine factual dispute as to whether the SUPERVISOR had sufficient notice of EMPLOYEE’s FMLA leave prior to the time of the termination.</w:t>
      </w:r>
    </w:p>
  </w:footnote>
  <w:footnote w:id="14">
    <w:p w14:paraId="74D29ED8" w14:textId="77777777" w:rsidR="00404A2E" w:rsidRDefault="009341B3">
      <w:pPr>
        <w:spacing w:after="60" w:line="252" w:lineRule="auto"/>
      </w:pPr>
      <w:r>
        <w:rPr>
          <w:rStyle w:val="FootnoteReference"/>
        </w:rPr>
        <w:footnoteRef/>
      </w:r>
      <w:r>
        <w:rPr>
          <w:color w:val="444444"/>
          <w:sz w:val="18"/>
          <w:szCs w:val="18"/>
        </w:rPr>
        <w:t>There are cases, of course, where the undisputed facts are such that “no rational trier of fact could conclude” that the employee’s notice was adequate. See, e.g., Satterfield v. Wal–Mart Stores, Inc., 135 F.3d 973, 980–81 (5th Cir.1998). In such cases, the adequacy of notice can be determined as a matter of law.</w:t>
      </w:r>
    </w:p>
  </w:footnote>
  <w:footnote w:id="15">
    <w:p w14:paraId="74D29ED9" w14:textId="77777777" w:rsidR="00404A2E" w:rsidRDefault="009341B3">
      <w:pPr>
        <w:spacing w:after="60" w:line="252" w:lineRule="auto"/>
      </w:pPr>
      <w:r>
        <w:rPr>
          <w:rStyle w:val="FootnoteReference"/>
        </w:rPr>
        <w:footnoteRef/>
      </w:r>
      <w:r>
        <w:rPr>
          <w:color w:val="444444"/>
          <w:sz w:val="18"/>
          <w:szCs w:val="18"/>
        </w:rPr>
        <w:t>Although COMPANY argues in its brief that EMPLOYEE failed to give “advance notice” of her leave, this is belied by the unforeseeable nature of the emergency and COMPANY’s previous admissions that EMPLOYEE followed proper procedure by calling the nursing supervisor when she did.</w:t>
      </w:r>
    </w:p>
  </w:footnote>
  <w:footnote w:id="16">
    <w:p w14:paraId="74D29EDA" w14:textId="77777777" w:rsidR="00404A2E" w:rsidRDefault="009341B3">
      <w:pPr>
        <w:spacing w:after="60" w:line="252" w:lineRule="auto"/>
      </w:pPr>
      <w:r>
        <w:rPr>
          <w:rStyle w:val="FootnoteReference"/>
        </w:rPr>
        <w:footnoteRef/>
      </w:r>
      <w:r>
        <w:rPr>
          <w:color w:val="444444"/>
          <w:sz w:val="18"/>
          <w:szCs w:val="18"/>
        </w:rPr>
        <w:t>Despite the dissent’s characterization to the contrary, our reasoning here does not dictate that a question of fact necessarily exists whenever an employee “calls out from work saying she needs to go to the hospital.” EMPLOYEE did not merely give a generic reference about going to a hospital; she specifically told COMPANY that her mother had been taken to the emergency room in an ambulance. As common sense would suggest, people rushed to the emergency room in an ambulance are generally in a more serious hea</w:t>
      </w:r>
      <w:r>
        <w:rPr>
          <w:color w:val="444444"/>
          <w:sz w:val="18"/>
          <w:szCs w:val="18"/>
        </w:rPr>
        <w:t>lth situation than people who go on their own accord. In fact, data from the United States indicate that about forty percent of people taken to the emergency room in an ambulance are admitted for inpatient care, versus just ten percent of those who “walk in.” We are not presented, therefore, with the kind of vague, generic reference to a “hospital” in which the likelihood of a serious health condition is merely conceivable but not sufficiently likely to warrant shifting the burden of inquiry onto the employ</w:t>
      </w:r>
      <w:r>
        <w:rPr>
          <w:color w:val="444444"/>
          <w:sz w:val="18"/>
          <w:szCs w:val="18"/>
        </w:rPr>
        <w:t>er.</w:t>
      </w:r>
    </w:p>
  </w:footnote>
  <w:footnote w:id="17">
    <w:p w14:paraId="74D29EDB" w14:textId="77777777" w:rsidR="00404A2E" w:rsidRDefault="009341B3">
      <w:pPr>
        <w:spacing w:after="60" w:line="252" w:lineRule="auto"/>
      </w:pPr>
      <w:r>
        <w:rPr>
          <w:rStyle w:val="FootnoteReference"/>
        </w:rPr>
        <w:footnoteRef/>
      </w:r>
      <w:r>
        <w:rPr>
          <w:color w:val="444444"/>
          <w:sz w:val="18"/>
          <w:szCs w:val="18"/>
        </w:rPr>
        <w:t>The Department of Labor has described this regulation as “provid[ing] additional guidance for employees regarding what is ‘sufficient information’” to constitute notice.</w:t>
      </w:r>
    </w:p>
  </w:footnote>
  <w:footnote w:id="18">
    <w:p w14:paraId="74D29EDC" w14:textId="77777777" w:rsidR="00404A2E" w:rsidRDefault="009341B3">
      <w:pPr>
        <w:spacing w:after="60" w:line="252" w:lineRule="auto"/>
      </w:pPr>
      <w:r>
        <w:rPr>
          <w:rStyle w:val="FootnoteReference"/>
        </w:rPr>
        <w:footnoteRef/>
      </w:r>
      <w:r>
        <w:rPr>
          <w:color w:val="444444"/>
          <w:sz w:val="18"/>
          <w:szCs w:val="18"/>
        </w:rPr>
        <w:t>Since the regulation refers to “continuing care” rather than “continuing treatment,” the Department of Labor’s definition of “continuing treatment” is not necessarily applicable.</w:t>
      </w:r>
    </w:p>
  </w:footnote>
  <w:footnote w:id="19">
    <w:p w14:paraId="74D29EDD" w14:textId="77777777" w:rsidR="00404A2E" w:rsidRDefault="009341B3">
      <w:pPr>
        <w:spacing w:after="60" w:line="252" w:lineRule="auto"/>
      </w:pPr>
      <w:r>
        <w:rPr>
          <w:rStyle w:val="FootnoteReference"/>
        </w:rPr>
        <w:footnoteRef/>
      </w:r>
      <w:r>
        <w:rPr>
          <w:color w:val="444444"/>
          <w:sz w:val="18"/>
          <w:szCs w:val="18"/>
        </w:rPr>
        <w:t>At oral argument, COMPANY argued that it could not have been expected to know that EMPLOYEE would take care of her mother because “there’s no evidence in this record that the plaintiff is an only child, that there’s no other family members there, who else was at the hospital to give nurture, or any of that type of information.”</w:t>
      </w:r>
    </w:p>
  </w:footnote>
  <w:footnote w:id="20">
    <w:p w14:paraId="74D29EDE" w14:textId="77777777" w:rsidR="00404A2E" w:rsidRDefault="009341B3">
      <w:pPr>
        <w:spacing w:after="60" w:line="252" w:lineRule="auto"/>
      </w:pPr>
      <w:r>
        <w:rPr>
          <w:rStyle w:val="FootnoteReference"/>
        </w:rPr>
        <w:footnoteRef/>
      </w:r>
      <w:r>
        <w:rPr>
          <w:color w:val="444444"/>
          <w:sz w:val="18"/>
          <w:szCs w:val="18"/>
        </w:rPr>
        <w:t>In her deposition, the SUPERVISOR stated: “I terminated [EMPLOYEE] by telephone [on January 10, 2008] before I knew anything about her mom being ill or needing to ask for leave.” When confronted with the email she received from EMPLOYEE that contained this information, the SUPERVISOR testified, “I did not see that.” When confronted with the fact that she twice requested and received EMPLOYEE’s staff log (which contained the note about EMPLOYEE’s mother being sick on January 3rd), the SUPERVISOR responded, “</w:t>
      </w:r>
      <w:r>
        <w:rPr>
          <w:color w:val="444444"/>
          <w:sz w:val="18"/>
          <w:szCs w:val="18"/>
        </w:rPr>
        <w:t>[i]t doesn’t mean that I looked at that, and I was, I don’t believe I looked at it at that point in time.”</w:t>
      </w:r>
    </w:p>
  </w:footnote>
  <w:footnote w:id="21">
    <w:p w14:paraId="74D29EDF" w14:textId="77777777" w:rsidR="00404A2E" w:rsidRDefault="009341B3">
      <w:pPr>
        <w:spacing w:after="60" w:line="252" w:lineRule="auto"/>
      </w:pPr>
      <w:r>
        <w:rPr>
          <w:rStyle w:val="FootnoteReference"/>
        </w:rPr>
        <w:footnoteRef/>
      </w:r>
      <w:r>
        <w:rPr>
          <w:color w:val="444444"/>
          <w:sz w:val="18"/>
          <w:szCs w:val="18"/>
        </w:rPr>
        <w:t>Although EMPLOYEE’s email did not specifically state that she missed work on January 3rd because of her mother’s hospitalization, the SUPERVISOR was aware from the staff log that EMPLOYEE’s January 3rd absence was a result of her mom being sick.</w:t>
      </w:r>
    </w:p>
  </w:footnote>
  <w:footnote w:id="22">
    <w:p w14:paraId="74D29EE0" w14:textId="77777777" w:rsidR="00404A2E" w:rsidRDefault="009341B3">
      <w:pPr>
        <w:spacing w:after="60" w:line="252" w:lineRule="auto"/>
      </w:pPr>
      <w:r>
        <w:rPr>
          <w:rStyle w:val="FootnoteReference"/>
        </w:rPr>
        <w:footnoteRef/>
      </w:r>
      <w:r>
        <w:rPr>
          <w:color w:val="444444"/>
          <w:sz w:val="18"/>
          <w:szCs w:val="18"/>
        </w:rPr>
        <w:t>A similar limitation applies to the District Court’s causation analysis, the conclusion of which was dictated by its finding that EMPLOYEE had not invoked her right to FMLA leave on January 3rd. Since this removed EMPLOYEE’s January 3rd absence from the FMLA’s protections, the District Court regarded any and all considerations of this absence irrelevant to causation. Thus, because “the wheels of [EMPLOYEE’s] termination were already in motion” by January 8th, the District Court concluded that EMPLOYEE faile</w:t>
      </w:r>
      <w:r>
        <w:rPr>
          <w:color w:val="444444"/>
          <w:sz w:val="18"/>
          <w:szCs w:val="18"/>
        </w:rPr>
        <w:t>d to demonstrate a causative link.</w:t>
      </w:r>
    </w:p>
  </w:footnote>
  <w:footnote w:id="23">
    <w:p w14:paraId="74D29EE1" w14:textId="77777777" w:rsidR="00404A2E" w:rsidRDefault="009341B3">
      <w:pPr>
        <w:spacing w:after="60" w:line="252" w:lineRule="auto"/>
      </w:pPr>
      <w:r>
        <w:rPr>
          <w:rStyle w:val="FootnoteReference"/>
        </w:rPr>
        <w:footnoteRef/>
      </w:r>
      <w:r>
        <w:rPr>
          <w:color w:val="444444"/>
          <w:sz w:val="18"/>
          <w:szCs w:val="18"/>
        </w:rPr>
        <w:t>This evidence includes: (1) the HR DIRECTOR’s testimony that the SUPERVISOR told her about EMPLOYEE’s mother’s illness prior to terminating EMPLOYEE, (2) the SUPERVISOR’s request and receipt of EMPLOYEE’s staff log in which the words “sick mom” were clearly written in the entry for the January 3rd absence, and (3) the SUPERVISOR’s receipt of and reply to EMPLOYEE’s email in which EMPLOYEE had discussed her mother’s hospitalization.</w:t>
      </w:r>
    </w:p>
  </w:footnote>
  <w:footnote w:id="24">
    <w:p w14:paraId="74D29EE2" w14:textId="77777777" w:rsidR="00404A2E" w:rsidRDefault="009341B3">
      <w:pPr>
        <w:spacing w:after="60" w:line="252" w:lineRule="auto"/>
      </w:pPr>
      <w:r>
        <w:rPr>
          <w:rStyle w:val="FootnoteReference"/>
        </w:rPr>
        <w:footnoteRef/>
      </w:r>
      <w:r>
        <w:rPr>
          <w:color w:val="444444"/>
          <w:sz w:val="18"/>
          <w:szCs w:val="18"/>
        </w:rPr>
        <w:t>The District Court reasoned that the SUPERVISOR’s testimony “is not so much inconsistent as it is vague as to the date on which certain events took place three years earlier.”</w:t>
      </w:r>
    </w:p>
  </w:footnote>
  <w:footnote w:id="25">
    <w:p w14:paraId="74D29EE3" w14:textId="77777777" w:rsidR="00404A2E" w:rsidRDefault="009341B3">
      <w:pPr>
        <w:spacing w:after="60" w:line="252" w:lineRule="auto"/>
      </w:pPr>
      <w:r>
        <w:rPr>
          <w:rStyle w:val="FootnoteReference"/>
        </w:rPr>
        <w:footnoteRef/>
      </w:r>
      <w:r>
        <w:rPr>
          <w:color w:val="444444"/>
          <w:sz w:val="18"/>
          <w:szCs w:val="18"/>
        </w:rPr>
        <w:t>It is not clear to us that Erdman necessarily guarantees that plaintiffs have an automatic right to claim interference where, as here, the claim is so clearly redundant to the retaliation claim. In recent years, several federal courts of appeals have affirmed dismissal of interference claims that—although not necessarily analogous to EMPLOYEE’s claim here—were duplicative of the plaintiffs’ retaliation claims. E.g., Lovland, 674 F.3d at 811–12; Seeger v. Cincinnati Bell Telephone Co., 681 F.3d 274, 282–83 (</w:t>
      </w:r>
      <w:r>
        <w:rPr>
          <w:color w:val="444444"/>
          <w:sz w:val="18"/>
          <w:szCs w:val="18"/>
        </w:rPr>
        <w:t>6th Cir.2012); Stallings v. Hussmann Corp., 447 F.3d 1041, 1051 (8th Cir.2006); see also Atchison v. Sears, 666 F.Supp.2d 477, 489 (E.D.Pa.2009). Since this issue was not raised below nor presented on appeal, we do not address it here.</w:t>
      </w:r>
    </w:p>
  </w:footnote>
  <w:footnote w:id="26">
    <w:p w14:paraId="74D29EE4" w14:textId="77777777" w:rsidR="00404A2E" w:rsidRDefault="009341B3">
      <w:pPr>
        <w:spacing w:after="60" w:line="252" w:lineRule="auto"/>
      </w:pPr>
      <w:r>
        <w:rPr>
          <w:rStyle w:val="FootnoteReference"/>
        </w:rPr>
        <w:footnoteRef/>
      </w:r>
      <w:r>
        <w:rPr>
          <w:color w:val="444444"/>
          <w:sz w:val="18"/>
          <w:szCs w:val="18"/>
        </w:rPr>
        <w:t xml:space="preserve">The Seventh Circuit requires that an employee’s notice “give the employer enough information to establish probable cause, as it were, to believe that he is entitled to FMLA leave.” Aubuchon, 359 F.3d at 953; but see Scobey v. Nucor Steel–Arkansas, 580 F.3d 781, 788 (8th Cir.2009) (declining to require that level of detail). I do not address whether that is the appropriate standard to apply to notice questions in FMLA cases, but we should be aware of the important considerations that led that court to adopt </w:t>
      </w:r>
      <w:r>
        <w:rPr>
          <w:color w:val="444444"/>
          <w:sz w:val="18"/>
          <w:szCs w:val="18"/>
        </w:rPr>
        <w:t>it.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B51BC6"/>
    <w:multiLevelType w:val="hybridMultilevel"/>
    <w:tmpl w:val="46B2A24E"/>
    <w:lvl w:ilvl="0" w:tplc="10CEFF28">
      <w:start w:val="1"/>
      <w:numFmt w:val="bullet"/>
      <w:lvlText w:val="•"/>
      <w:lvlJc w:val="left"/>
      <w:pPr>
        <w:ind w:left="460" w:hanging="240"/>
      </w:pPr>
    </w:lvl>
    <w:lvl w:ilvl="1" w:tplc="2ACE946C">
      <w:numFmt w:val="decimal"/>
      <w:lvlText w:val=""/>
      <w:lvlJc w:val="left"/>
    </w:lvl>
    <w:lvl w:ilvl="2" w:tplc="95704DA8">
      <w:numFmt w:val="decimal"/>
      <w:lvlText w:val=""/>
      <w:lvlJc w:val="left"/>
    </w:lvl>
    <w:lvl w:ilvl="3" w:tplc="8AD6B612">
      <w:numFmt w:val="decimal"/>
      <w:lvlText w:val=""/>
      <w:lvlJc w:val="left"/>
    </w:lvl>
    <w:lvl w:ilvl="4" w:tplc="684CCB8C">
      <w:numFmt w:val="decimal"/>
      <w:lvlText w:val=""/>
      <w:lvlJc w:val="left"/>
    </w:lvl>
    <w:lvl w:ilvl="5" w:tplc="5C8C056A">
      <w:numFmt w:val="decimal"/>
      <w:lvlText w:val=""/>
      <w:lvlJc w:val="left"/>
    </w:lvl>
    <w:lvl w:ilvl="6" w:tplc="1236E29E">
      <w:numFmt w:val="decimal"/>
      <w:lvlText w:val=""/>
      <w:lvlJc w:val="left"/>
    </w:lvl>
    <w:lvl w:ilvl="7" w:tplc="49D4CAB0">
      <w:numFmt w:val="decimal"/>
      <w:lvlText w:val=""/>
      <w:lvlJc w:val="left"/>
    </w:lvl>
    <w:lvl w:ilvl="8" w:tplc="72EC5BAC">
      <w:numFmt w:val="decimal"/>
      <w:lvlText w:val=""/>
      <w:lvlJc w:val="left"/>
    </w:lvl>
  </w:abstractNum>
  <w:abstractNum w:abstractNumId="1" w15:restartNumberingAfterBreak="0">
    <w:nsid w:val="35C86798"/>
    <w:multiLevelType w:val="hybridMultilevel"/>
    <w:tmpl w:val="19985104"/>
    <w:lvl w:ilvl="0" w:tplc="99CE158C">
      <w:start w:val="1"/>
      <w:numFmt w:val="decimal"/>
      <w:lvlText w:val="%1."/>
      <w:lvlJc w:val="left"/>
      <w:pPr>
        <w:ind w:left="360" w:hanging="360"/>
      </w:pPr>
    </w:lvl>
    <w:lvl w:ilvl="1" w:tplc="EBD00762">
      <w:numFmt w:val="decimal"/>
      <w:lvlText w:val=""/>
      <w:lvlJc w:val="left"/>
    </w:lvl>
    <w:lvl w:ilvl="2" w:tplc="76B8083C">
      <w:numFmt w:val="decimal"/>
      <w:lvlText w:val=""/>
      <w:lvlJc w:val="left"/>
    </w:lvl>
    <w:lvl w:ilvl="3" w:tplc="3B300D56">
      <w:numFmt w:val="decimal"/>
      <w:lvlText w:val=""/>
      <w:lvlJc w:val="left"/>
    </w:lvl>
    <w:lvl w:ilvl="4" w:tplc="FA2403A6">
      <w:numFmt w:val="decimal"/>
      <w:lvlText w:val=""/>
      <w:lvlJc w:val="left"/>
    </w:lvl>
    <w:lvl w:ilvl="5" w:tplc="545CDEFC">
      <w:numFmt w:val="decimal"/>
      <w:lvlText w:val=""/>
      <w:lvlJc w:val="left"/>
    </w:lvl>
    <w:lvl w:ilvl="6" w:tplc="2556DE34">
      <w:numFmt w:val="decimal"/>
      <w:lvlText w:val=""/>
      <w:lvlJc w:val="left"/>
    </w:lvl>
    <w:lvl w:ilvl="7" w:tplc="E9B0C37E">
      <w:numFmt w:val="decimal"/>
      <w:lvlText w:val=""/>
      <w:lvlJc w:val="left"/>
    </w:lvl>
    <w:lvl w:ilvl="8" w:tplc="2FD6A13C">
      <w:numFmt w:val="decimal"/>
      <w:lvlText w:val=""/>
      <w:lvlJc w:val="left"/>
    </w:lvl>
  </w:abstractNum>
  <w:abstractNum w:abstractNumId="2" w15:restartNumberingAfterBreak="0">
    <w:nsid w:val="4F10611E"/>
    <w:multiLevelType w:val="hybridMultilevel"/>
    <w:tmpl w:val="82545C7A"/>
    <w:lvl w:ilvl="0" w:tplc="22B61BE2">
      <w:start w:val="1"/>
      <w:numFmt w:val="bullet"/>
      <w:lvlText w:val="●"/>
      <w:lvlJc w:val="left"/>
      <w:pPr>
        <w:ind w:left="720" w:hanging="360"/>
      </w:pPr>
    </w:lvl>
    <w:lvl w:ilvl="1" w:tplc="ECBEED60">
      <w:start w:val="1"/>
      <w:numFmt w:val="bullet"/>
      <w:lvlText w:val="○"/>
      <w:lvlJc w:val="left"/>
      <w:pPr>
        <w:ind w:left="1440" w:hanging="360"/>
      </w:pPr>
    </w:lvl>
    <w:lvl w:ilvl="2" w:tplc="413E3832">
      <w:start w:val="1"/>
      <w:numFmt w:val="bullet"/>
      <w:lvlText w:val="■"/>
      <w:lvlJc w:val="left"/>
      <w:pPr>
        <w:ind w:left="2160" w:hanging="360"/>
      </w:pPr>
    </w:lvl>
    <w:lvl w:ilvl="3" w:tplc="562AECA4">
      <w:start w:val="1"/>
      <w:numFmt w:val="bullet"/>
      <w:lvlText w:val="●"/>
      <w:lvlJc w:val="left"/>
      <w:pPr>
        <w:ind w:left="2880" w:hanging="360"/>
      </w:pPr>
    </w:lvl>
    <w:lvl w:ilvl="4" w:tplc="0E32D788">
      <w:start w:val="1"/>
      <w:numFmt w:val="bullet"/>
      <w:lvlText w:val="○"/>
      <w:lvlJc w:val="left"/>
      <w:pPr>
        <w:ind w:left="3600" w:hanging="360"/>
      </w:pPr>
    </w:lvl>
    <w:lvl w:ilvl="5" w:tplc="1DBE5B74">
      <w:start w:val="1"/>
      <w:numFmt w:val="bullet"/>
      <w:lvlText w:val="■"/>
      <w:lvlJc w:val="left"/>
      <w:pPr>
        <w:ind w:left="4320" w:hanging="360"/>
      </w:pPr>
    </w:lvl>
    <w:lvl w:ilvl="6" w:tplc="C860ADA6">
      <w:start w:val="1"/>
      <w:numFmt w:val="bullet"/>
      <w:lvlText w:val="●"/>
      <w:lvlJc w:val="left"/>
      <w:pPr>
        <w:ind w:left="5040" w:hanging="360"/>
      </w:pPr>
    </w:lvl>
    <w:lvl w:ilvl="7" w:tplc="56BE357E">
      <w:start w:val="1"/>
      <w:numFmt w:val="bullet"/>
      <w:lvlText w:val="●"/>
      <w:lvlJc w:val="left"/>
      <w:pPr>
        <w:ind w:left="5760" w:hanging="360"/>
      </w:pPr>
    </w:lvl>
    <w:lvl w:ilvl="8" w:tplc="AEC8A108">
      <w:start w:val="1"/>
      <w:numFmt w:val="bullet"/>
      <w:lvlText w:val="●"/>
      <w:lvlJc w:val="left"/>
      <w:pPr>
        <w:ind w:left="6480" w:hanging="360"/>
      </w:pPr>
    </w:lvl>
  </w:abstractNum>
  <w:num w:numId="1" w16cid:durableId="669257070">
    <w:abstractNumId w:val="2"/>
    <w:lvlOverride w:ilvl="0">
      <w:startOverride w:val="1"/>
    </w:lvlOverride>
  </w:num>
  <w:num w:numId="2" w16cid:durableId="81561366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A2E"/>
    <w:rsid w:val="00404A2E"/>
    <w:rsid w:val="005F05D7"/>
    <w:rsid w:val="009341B3"/>
    <w:rsid w:val="00993697"/>
    <w:rsid w:val="00DF6B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29E56"/>
  <w15:docId w15:val="{AF34D23B-C2D2-4595-8BD2-1B6D40B60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4dd7714-5d3b-4f08-aeb7-4ffa24dfaea1">
      <Terms xmlns="http://schemas.microsoft.com/office/infopath/2007/PartnerControls"/>
    </lcf76f155ced4ddcb4097134ff3c332f>
    <TaxCatchAll xmlns="ae1e6540-5f17-45ce-ac76-c75d29f68c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71A81D72198488B4C0867877695E0" ma:contentTypeVersion="19" ma:contentTypeDescription="Create a new document." ma:contentTypeScope="" ma:versionID="9c09febdc3ee30792161a4acc1882f10">
  <xsd:schema xmlns:xsd="http://www.w3.org/2001/XMLSchema" xmlns:xs="http://www.w3.org/2001/XMLSchema" xmlns:p="http://schemas.microsoft.com/office/2006/metadata/properties" xmlns:ns2="b4dd7714-5d3b-4f08-aeb7-4ffa24dfaea1" xmlns:ns3="ae1e6540-5f17-45ce-ac76-c75d29f68c99" targetNamespace="http://schemas.microsoft.com/office/2006/metadata/properties" ma:root="true" ma:fieldsID="8e710f9bd7b7b77f6a3d71218162f823" ns2:_="" ns3:_="">
    <xsd:import namespace="b4dd7714-5d3b-4f08-aeb7-4ffa24dfaea1"/>
    <xsd:import namespace="ae1e6540-5f17-45ce-ac76-c75d29f68c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d7714-5d3b-4f08-aeb7-4ffa24dfae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3e3dc2-79b4-4fdd-a9a6-f669ca57ba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1e6540-5f17-45ce-ac76-c75d29f68c99"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c96abf-cced-47b0-908f-c361fd18f97a}" ma:internalName="TaxCatchAll" ma:showField="CatchAllData" ma:web="ae1e6540-5f17-45ce-ac76-c75d29f68c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9BA91-3F4E-4B80-8165-CE14F3617390}">
  <ds:schemaRefs>
    <ds:schemaRef ds:uri="http://schemas.microsoft.com/office/2006/metadata/properties"/>
    <ds:schemaRef ds:uri="http://schemas.microsoft.com/office/infopath/2007/PartnerControls"/>
    <ds:schemaRef ds:uri="b4dd7714-5d3b-4f08-aeb7-4ffa24dfaea1"/>
    <ds:schemaRef ds:uri="ae1e6540-5f17-45ce-ac76-c75d29f68c99"/>
  </ds:schemaRefs>
</ds:datastoreItem>
</file>

<file path=customXml/itemProps2.xml><?xml version="1.0" encoding="utf-8"?>
<ds:datastoreItem xmlns:ds="http://schemas.openxmlformats.org/officeDocument/2006/customXml" ds:itemID="{2C59EA3A-FE0E-47F9-A6C5-5C6CE897AB70}">
  <ds:schemaRefs>
    <ds:schemaRef ds:uri="http://schemas.microsoft.com/sharepoint/v3/contenttype/forms"/>
  </ds:schemaRefs>
</ds:datastoreItem>
</file>

<file path=customXml/itemProps3.xml><?xml version="1.0" encoding="utf-8"?>
<ds:datastoreItem xmlns:ds="http://schemas.openxmlformats.org/officeDocument/2006/customXml" ds:itemID="{D5DCB660-DE32-499B-AA70-11D3835EE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d7714-5d3b-4f08-aeb7-4ffa24dfaea1"/>
    <ds:schemaRef ds:uri="ae1e6540-5f17-45ce-ac76-c75d29f68c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8917</Words>
  <Characters>50831</Characters>
  <Application>Microsoft Office Word</Application>
  <DocSecurity>0</DocSecurity>
  <Lines>423</Lines>
  <Paragraphs>119</Paragraphs>
  <ScaleCrop>false</ScaleCrop>
  <Company/>
  <LinksUpToDate>false</LinksUpToDate>
  <CharactersWithSpaces>59629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Lauren Patel</cp:lastModifiedBy>
  <cp:revision>3</cp:revision>
  <dcterms:created xsi:type="dcterms:W3CDTF">2026-06-12T21:06:00Z</dcterms:created>
  <dcterms:modified xsi:type="dcterms:W3CDTF">2026-06-18T18:45:00Z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0x0101002FE71A81D72198488B4C0867877695E0</vt:lpwstr>
  </property>
</Properties>
</file>